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9DED6" w14:textId="4D6A6BF5" w:rsidR="0097352E" w:rsidRPr="00B75F29" w:rsidRDefault="0097352E" w:rsidP="0097352E">
      <w:pPr>
        <w:widowControl w:val="0"/>
        <w:tabs>
          <w:tab w:val="right" w:pos="9639"/>
        </w:tabs>
        <w:spacing w:after="0"/>
        <w:rPr>
          <w:rFonts w:ascii="Arial" w:eastAsia="DengXian" w:hAnsi="Arial" w:cs="Arial"/>
          <w:b/>
          <w:bCs/>
          <w:sz w:val="24"/>
          <w:lang w:val="en-US" w:eastAsia="zh-CN"/>
        </w:rPr>
      </w:pPr>
      <w:bookmarkStart w:id="0" w:name="_Hlk54275161"/>
      <w:bookmarkStart w:id="1" w:name="_Toc142579058"/>
      <w:bookmarkEnd w:id="0"/>
      <w:r w:rsidRPr="00D85860">
        <w:rPr>
          <w:rFonts w:ascii="Arial" w:hAnsi="Arial" w:cs="Arial"/>
          <w:b/>
          <w:sz w:val="24"/>
          <w:lang w:val="en-US" w:eastAsia="en-US"/>
        </w:rPr>
        <w:t>3GPP TSG-RAN WG2 #1</w:t>
      </w:r>
      <w:r>
        <w:rPr>
          <w:rFonts w:ascii="Arial" w:hAnsi="Arial" w:cs="Arial"/>
          <w:b/>
          <w:sz w:val="24"/>
          <w:lang w:val="en-US" w:eastAsia="en-US"/>
        </w:rPr>
        <w:t>30</w:t>
      </w:r>
      <w:r w:rsidRPr="00D85860">
        <w:rPr>
          <w:rFonts w:ascii="Arial" w:hAnsi="Arial" w:cs="Arial"/>
          <w:b/>
          <w:sz w:val="24"/>
          <w:lang w:val="en-US" w:eastAsia="en-US"/>
        </w:rPr>
        <w:tab/>
      </w:r>
      <w:bookmarkEnd w:id="1"/>
      <w:r w:rsidRPr="00AC0B5E">
        <w:rPr>
          <w:rFonts w:ascii="Arial" w:hAnsi="Arial" w:cs="Arial"/>
          <w:b/>
          <w:sz w:val="24"/>
          <w:lang w:eastAsia="en-US"/>
        </w:rPr>
        <w:t>R2-25</w:t>
      </w:r>
      <w:r w:rsidR="00BA6E17">
        <w:rPr>
          <w:rFonts w:ascii="Arial" w:hAnsi="Arial" w:cs="Arial"/>
          <w:b/>
          <w:sz w:val="24"/>
          <w:lang w:val="en-US" w:eastAsia="en-US"/>
        </w:rPr>
        <w:t>04256</w:t>
      </w:r>
    </w:p>
    <w:p w14:paraId="3DD65A5C" w14:textId="77777777" w:rsidR="0097352E" w:rsidRPr="0000706B" w:rsidRDefault="0097352E" w:rsidP="0097352E">
      <w:pPr>
        <w:widowControl w:val="0"/>
        <w:tabs>
          <w:tab w:val="right" w:pos="9639"/>
        </w:tabs>
        <w:spacing w:after="0"/>
        <w:rPr>
          <w:rFonts w:ascii="Arial" w:hAnsi="Arial" w:cs="Arial"/>
          <w:b/>
          <w:sz w:val="24"/>
          <w:lang w:val="en-US" w:eastAsia="en-US"/>
        </w:rPr>
      </w:pPr>
      <w:r>
        <w:rPr>
          <w:rFonts w:ascii="Arial" w:hAnsi="Arial" w:cs="Arial"/>
          <w:b/>
          <w:sz w:val="24"/>
          <w:lang w:val="en-US" w:eastAsia="en-US"/>
        </w:rPr>
        <w:t>St Julian’s</w:t>
      </w:r>
      <w:r w:rsidRPr="0000706B">
        <w:rPr>
          <w:rFonts w:ascii="Arial" w:hAnsi="Arial" w:cs="Arial"/>
          <w:b/>
          <w:sz w:val="24"/>
          <w:lang w:val="en-US" w:eastAsia="en-US"/>
        </w:rPr>
        <w:t xml:space="preserve">, </w:t>
      </w:r>
      <w:r>
        <w:rPr>
          <w:rFonts w:ascii="Arial" w:hAnsi="Arial" w:cs="Arial"/>
          <w:b/>
          <w:sz w:val="24"/>
          <w:lang w:val="en-US" w:eastAsia="en-US"/>
        </w:rPr>
        <w:t>Malta</w:t>
      </w:r>
      <w:r w:rsidRPr="0000706B">
        <w:rPr>
          <w:rFonts w:ascii="Arial" w:hAnsi="Arial" w:cs="Arial"/>
          <w:b/>
          <w:sz w:val="24"/>
          <w:lang w:val="en-US" w:eastAsia="en-US"/>
        </w:rPr>
        <w:t xml:space="preserve">, </w:t>
      </w:r>
      <w:r>
        <w:rPr>
          <w:rFonts w:ascii="Arial" w:hAnsi="Arial" w:cs="Arial"/>
          <w:b/>
          <w:sz w:val="24"/>
          <w:lang w:val="en-US" w:eastAsia="en-US"/>
        </w:rPr>
        <w:t>19-23 May</w:t>
      </w:r>
      <w:r w:rsidRPr="0000706B">
        <w:rPr>
          <w:rFonts w:ascii="Arial" w:hAnsi="Arial" w:cs="Arial"/>
          <w:b/>
          <w:sz w:val="24"/>
          <w:lang w:val="en-US" w:eastAsia="en-US"/>
        </w:rPr>
        <w:t xml:space="preserve"> 202</w:t>
      </w:r>
      <w:r>
        <w:rPr>
          <w:rFonts w:ascii="Arial" w:hAnsi="Arial" w:cs="Arial"/>
          <w:b/>
          <w:sz w:val="24"/>
          <w:lang w:val="en-US" w:eastAsia="en-US"/>
        </w:rPr>
        <w:t>5</w:t>
      </w:r>
    </w:p>
    <w:p w14:paraId="7E50D7EC" w14:textId="77777777" w:rsidR="00091DA1" w:rsidRDefault="00091DA1" w:rsidP="00E92982">
      <w:pPr>
        <w:pStyle w:val="3GPPHeader"/>
        <w:rPr>
          <w:sz w:val="22"/>
          <w:szCs w:val="22"/>
          <w:lang w:val="en-US"/>
        </w:rPr>
      </w:pPr>
    </w:p>
    <w:p w14:paraId="4D5BD6C0" w14:textId="71AFBF75"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w:t>
      </w:r>
      <w:r w:rsidR="00D07CE4">
        <w:rPr>
          <w:sz w:val="22"/>
          <w:szCs w:val="22"/>
          <w:lang w:val="en-US"/>
        </w:rPr>
        <w:t>11</w:t>
      </w:r>
      <w:r w:rsidR="006E31E2">
        <w:rPr>
          <w:sz w:val="22"/>
          <w:szCs w:val="22"/>
          <w:lang w:val="en-US"/>
        </w:rPr>
        <w:t>.</w:t>
      </w:r>
      <w:r w:rsidR="00D07CE4">
        <w:rPr>
          <w:sz w:val="22"/>
          <w:szCs w:val="22"/>
          <w:lang w:val="en-US"/>
        </w:rPr>
        <w:t>3</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67EF4FBF" w:rsidR="00E92982" w:rsidRPr="00CE0424" w:rsidRDefault="00E92982" w:rsidP="00E92982">
      <w:pPr>
        <w:pStyle w:val="3GPPHeader"/>
        <w:rPr>
          <w:sz w:val="22"/>
          <w:szCs w:val="22"/>
        </w:rPr>
      </w:pPr>
      <w:r>
        <w:rPr>
          <w:sz w:val="22"/>
          <w:szCs w:val="22"/>
        </w:rPr>
        <w:t>Title:</w:t>
      </w:r>
      <w:r w:rsidRPr="00CE0424">
        <w:rPr>
          <w:sz w:val="22"/>
          <w:szCs w:val="22"/>
        </w:rPr>
        <w:tab/>
      </w:r>
      <w:r w:rsidR="00C56CF1">
        <w:t xml:space="preserve">CSI-RS measurements </w:t>
      </w:r>
      <w:r w:rsidR="003836DB">
        <w:t>in</w:t>
      </w:r>
      <w:r w:rsidR="00AD4E4A">
        <w:t xml:space="preserve"> SBFD</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2" w:name="_Ref162456853"/>
      <w:r>
        <w:t>1</w:t>
      </w:r>
      <w:r>
        <w:tab/>
      </w:r>
      <w:r w:rsidR="00E90E49" w:rsidRPr="00CE0424">
        <w:t>Introduction</w:t>
      </w:r>
      <w:bookmarkEnd w:id="2"/>
    </w:p>
    <w:p w14:paraId="32D161FF" w14:textId="14CC51AB" w:rsidR="006E5189" w:rsidRPr="00C56232" w:rsidRDefault="002349B7" w:rsidP="00D97483">
      <w:pPr>
        <w:rPr>
          <w:rFonts w:ascii="Arial" w:eastAsia="Malgun Gothic" w:hAnsi="Arial" w:cs="Arial"/>
          <w:lang w:val="en-US" w:eastAsia="ko-KR"/>
        </w:rPr>
      </w:pPr>
      <w:r w:rsidRPr="00C16665">
        <w:rPr>
          <w:rFonts w:ascii="Arial" w:hAnsi="Arial" w:cs="Arial"/>
        </w:rPr>
        <w:t xml:space="preserve">In this paper, we discuss </w:t>
      </w:r>
      <w:r w:rsidR="00D97483" w:rsidRPr="00C56232">
        <w:rPr>
          <w:rFonts w:ascii="Arial" w:hAnsi="Arial" w:cs="Arial"/>
        </w:rPr>
        <w:t xml:space="preserve">CSI-RS measurements for </w:t>
      </w:r>
      <w:r w:rsidR="00D97483" w:rsidRPr="00C16665">
        <w:rPr>
          <w:rFonts w:ascii="Arial" w:hAnsi="Arial" w:cs="Arial"/>
        </w:rPr>
        <w:t>RLM/BFD/CBD</w:t>
      </w:r>
      <w:r w:rsidR="003836DB">
        <w:rPr>
          <w:rFonts w:ascii="Arial" w:hAnsi="Arial" w:cs="Arial"/>
        </w:rPr>
        <w:t xml:space="preserve"> and for L3 mobility</w:t>
      </w:r>
      <w:r w:rsidR="00D97483" w:rsidRPr="00C56232">
        <w:rPr>
          <w:rFonts w:ascii="Arial" w:hAnsi="Arial" w:cs="Arial"/>
        </w:rPr>
        <w:t xml:space="preserve"> in SBFD</w:t>
      </w:r>
      <w:r w:rsidR="00D97483" w:rsidRPr="00C16665">
        <w:rPr>
          <w:rFonts w:ascii="Arial" w:hAnsi="Arial" w:cs="Arial"/>
        </w:rPr>
        <w:t>.</w:t>
      </w:r>
    </w:p>
    <w:p w14:paraId="5AA981B0" w14:textId="77777777" w:rsidR="00CF4432" w:rsidRPr="00C16665" w:rsidRDefault="00CF4432" w:rsidP="00CF4432">
      <w:pPr>
        <w:rPr>
          <w:rFonts w:ascii="Arial" w:hAnsi="Arial" w:cs="Arial"/>
          <w:lang w:val="en-US"/>
        </w:rPr>
      </w:pPr>
      <w:r w:rsidRPr="00C16665">
        <w:rPr>
          <w:rFonts w:ascii="Arial" w:hAnsi="Arial" w:cs="Arial"/>
        </w:rPr>
        <w:t>In this paper, a SBFD aware UE means a UE which is capable of operating in a cell configured with SBFD feature, i.e., the cell/the gNB 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45831">
      <w:pPr>
        <w:pStyle w:val="Heading1"/>
      </w:pPr>
      <w:r>
        <w:t>2</w:t>
      </w:r>
      <w:r>
        <w:tab/>
      </w:r>
      <w:r w:rsidR="00530AEF">
        <w:t>Discussion</w:t>
      </w:r>
    </w:p>
    <w:p w14:paraId="2AB0892D" w14:textId="5F0C9F9C" w:rsidR="00CA653C" w:rsidRDefault="00CA653C" w:rsidP="00CF5BC5">
      <w:pPr>
        <w:pStyle w:val="Heading2"/>
        <w:rPr>
          <w:lang w:eastAsia="zh-CN"/>
        </w:rPr>
      </w:pPr>
      <w:r w:rsidRPr="003D4082">
        <w:rPr>
          <w:rFonts w:cs="Arial"/>
        </w:rPr>
        <w:t>2.</w:t>
      </w:r>
      <w:r w:rsidR="0083352D">
        <w:rPr>
          <w:rFonts w:cs="Arial"/>
        </w:rPr>
        <w:t>1</w:t>
      </w:r>
      <w:r>
        <w:rPr>
          <w:rFonts w:cs="Arial"/>
        </w:rPr>
        <w:tab/>
      </w:r>
      <w:r w:rsidR="0083352D">
        <w:rPr>
          <w:lang w:eastAsia="zh-CN"/>
        </w:rPr>
        <w:t xml:space="preserve">CSI-RS </w:t>
      </w:r>
      <w:r w:rsidR="00DA7029">
        <w:t xml:space="preserve">measurements for </w:t>
      </w:r>
      <w:r w:rsidR="00DA7029">
        <w:rPr>
          <w:rFonts w:cs="Arial"/>
        </w:rPr>
        <w:t>RLM/BFD/CBD</w:t>
      </w:r>
    </w:p>
    <w:p w14:paraId="00280E8E" w14:textId="7EE28E65" w:rsidR="00DF3716" w:rsidRDefault="00DF3716" w:rsidP="0083352D">
      <w:pPr>
        <w:rPr>
          <w:rFonts w:ascii="Arial" w:hAnsi="Arial" w:cs="Arial"/>
          <w:sz w:val="22"/>
          <w:szCs w:val="18"/>
        </w:rPr>
      </w:pPr>
      <w:r>
        <w:rPr>
          <w:rFonts w:ascii="Arial" w:hAnsi="Arial" w:cs="Arial"/>
        </w:rPr>
        <w:t xml:space="preserve">RAN1 has sent a LS reply </w:t>
      </w:r>
      <w:r w:rsidR="00586D13">
        <w:rPr>
          <w:rFonts w:ascii="Arial" w:hAnsi="Arial" w:cs="Arial"/>
        </w:rPr>
        <w:t>in “</w:t>
      </w:r>
      <w:r w:rsidR="00586D13" w:rsidRPr="00C56232">
        <w:rPr>
          <w:rFonts w:ascii="Arial" w:hAnsi="Arial" w:cs="Arial"/>
          <w:i/>
          <w:iCs/>
        </w:rPr>
        <w:t>R1-2501560</w:t>
      </w:r>
      <w:r w:rsidRPr="00C56232">
        <w:rPr>
          <w:rFonts w:ascii="Arial" w:hAnsi="Arial" w:cs="Arial"/>
          <w:i/>
          <w:iCs/>
        </w:rPr>
        <w:t xml:space="preserve"> </w:t>
      </w:r>
      <w:r w:rsidR="00586D13" w:rsidRPr="00C56232">
        <w:rPr>
          <w:rFonts w:ascii="Arial" w:hAnsi="Arial" w:cs="Arial"/>
          <w:i/>
          <w:iCs/>
        </w:rPr>
        <w:t xml:space="preserve">- </w:t>
      </w:r>
      <w:r w:rsidRPr="00C56232">
        <w:rPr>
          <w:rFonts w:ascii="Arial" w:hAnsi="Arial" w:cs="Arial"/>
          <w:i/>
          <w:iCs/>
        </w:rPr>
        <w:t>Reply LS on CSI-RS measurement with SBFD operation</w:t>
      </w:r>
      <w:r w:rsidR="00586D13">
        <w:rPr>
          <w:rFonts w:ascii="Arial" w:hAnsi="Arial" w:cs="Arial"/>
        </w:rPr>
        <w:t>”</w:t>
      </w:r>
      <w:r w:rsidRPr="00C56232">
        <w:rPr>
          <w:rFonts w:ascii="Arial" w:hAnsi="Arial" w:cs="Arial"/>
        </w:rPr>
        <w:t xml:space="preserve">. </w:t>
      </w:r>
      <w:r>
        <w:rPr>
          <w:rFonts w:ascii="Arial" w:hAnsi="Arial" w:cs="Arial"/>
          <w:sz w:val="22"/>
          <w:szCs w:val="18"/>
        </w:rPr>
        <w:t>The relevant content is</w:t>
      </w:r>
      <w:r w:rsidR="00586D13">
        <w:rPr>
          <w:rFonts w:ascii="Arial" w:hAnsi="Arial" w:cs="Arial"/>
          <w:sz w:val="22"/>
          <w:szCs w:val="18"/>
        </w:rPr>
        <w:t>:</w:t>
      </w:r>
    </w:p>
    <w:tbl>
      <w:tblPr>
        <w:tblStyle w:val="TableGrid"/>
        <w:tblW w:w="0" w:type="auto"/>
        <w:tblInd w:w="421" w:type="dxa"/>
        <w:tblLook w:val="04A0" w:firstRow="1" w:lastRow="0" w:firstColumn="1" w:lastColumn="0" w:noHBand="0" w:noVBand="1"/>
      </w:tblPr>
      <w:tblGrid>
        <w:gridCol w:w="8646"/>
      </w:tblGrid>
      <w:tr w:rsidR="00586D13" w14:paraId="7039696C" w14:textId="77777777" w:rsidTr="00C56232">
        <w:tc>
          <w:tcPr>
            <w:tcW w:w="8646" w:type="dxa"/>
          </w:tcPr>
          <w:p w14:paraId="111FC2DD" w14:textId="77777777" w:rsidR="00586D13" w:rsidRPr="00587DF1" w:rsidRDefault="00586D13" w:rsidP="00586D13">
            <w:pPr>
              <w:rPr>
                <w:rFonts w:ascii="Arial" w:hAnsi="Arial" w:cs="Arial"/>
                <w:b/>
                <w:bCs/>
                <w:sz w:val="20"/>
                <w:szCs w:val="20"/>
              </w:rPr>
            </w:pPr>
            <w:r w:rsidRPr="00587DF1">
              <w:rPr>
                <w:rFonts w:ascii="Arial" w:hAnsi="Arial" w:cs="Arial"/>
                <w:b/>
                <w:bCs/>
                <w:sz w:val="20"/>
                <w:szCs w:val="20"/>
              </w:rPr>
              <w:t>Issue#2: Behaviour for CSI-RS based L1-RSRP/SINR and RLM/BFD/CBD measurements</w:t>
            </w:r>
          </w:p>
          <w:p w14:paraId="0A835D39" w14:textId="77777777" w:rsidR="00586D13" w:rsidRPr="00587DF1" w:rsidRDefault="00586D13" w:rsidP="00586D13">
            <w:pPr>
              <w:jc w:val="both"/>
              <w:rPr>
                <w:rFonts w:ascii="Arial" w:hAnsi="Arial" w:cs="Arial"/>
                <w:sz w:val="20"/>
                <w:szCs w:val="20"/>
              </w:rPr>
            </w:pPr>
            <w:r w:rsidRPr="00587DF1">
              <w:rPr>
                <w:rFonts w:ascii="Arial" w:hAnsi="Arial" w:cs="Arial"/>
                <w:sz w:val="20"/>
                <w:szCs w:val="20"/>
              </w:rPr>
              <w:t>For resource configuration and/or reporting configuration for CSI-RS based L1-RSRP/SINR measurement and RLM/BFD/CBD measurement, RAN1 would like to provide the following response:</w:t>
            </w:r>
          </w:p>
          <w:p w14:paraId="6C9C0B60" w14:textId="77777777" w:rsidR="00586D13" w:rsidRPr="00587DF1" w:rsidRDefault="00586D13" w:rsidP="00586D13">
            <w:pPr>
              <w:pStyle w:val="ListParagraph"/>
              <w:numPr>
                <w:ilvl w:val="0"/>
                <w:numId w:val="16"/>
              </w:numPr>
              <w:overflowPunct/>
              <w:autoSpaceDE/>
              <w:autoSpaceDN/>
              <w:adjustRightInd/>
              <w:spacing w:after="120"/>
              <w:ind w:left="357" w:hanging="357"/>
              <w:jc w:val="both"/>
              <w:textAlignment w:val="auto"/>
              <w:rPr>
                <w:rFonts w:ascii="Arial" w:hAnsi="Arial" w:cs="Arial"/>
                <w:sz w:val="20"/>
                <w:szCs w:val="20"/>
              </w:rPr>
            </w:pPr>
            <w:r w:rsidRPr="00587DF1">
              <w:rPr>
                <w:rFonts w:ascii="Arial" w:hAnsi="Arial" w:cs="Arial"/>
                <w:sz w:val="20"/>
                <w:szCs w:val="20"/>
              </w:rPr>
              <w:t>According to the following RAN1 agreements, Configuration 1 and Configuration 2 are not applicable to CSI-RS resources configuration and CSI-RS based RLM/BFD/CBD measurement.</w:t>
            </w:r>
          </w:p>
          <w:tbl>
            <w:tblPr>
              <w:tblStyle w:val="TableGrid"/>
              <w:tblW w:w="0" w:type="auto"/>
              <w:tblInd w:w="360" w:type="dxa"/>
              <w:tblLook w:val="04A0" w:firstRow="1" w:lastRow="0" w:firstColumn="1" w:lastColumn="0" w:noHBand="0" w:noVBand="1"/>
            </w:tblPr>
            <w:tblGrid>
              <w:gridCol w:w="8060"/>
            </w:tblGrid>
            <w:tr w:rsidR="00586D13" w:rsidRPr="00587DF1" w14:paraId="2007FEE2" w14:textId="77777777" w:rsidTr="001B6ECB">
              <w:tc>
                <w:tcPr>
                  <w:tcW w:w="9629" w:type="dxa"/>
                </w:tcPr>
                <w:p w14:paraId="396D6081" w14:textId="77777777" w:rsidR="00586D13" w:rsidRPr="00587DF1" w:rsidRDefault="00586D13" w:rsidP="00586D13">
                  <w:pPr>
                    <w:pStyle w:val="ListParagraph"/>
                    <w:spacing w:before="120" w:after="120"/>
                    <w:ind w:left="0"/>
                    <w:jc w:val="both"/>
                    <w:rPr>
                      <w:rFonts w:ascii="Arial" w:eastAsiaTheme="minorEastAsia" w:hAnsi="Arial" w:cs="Arial"/>
                      <w:b/>
                      <w:sz w:val="20"/>
                      <w:szCs w:val="20"/>
                    </w:rPr>
                  </w:pPr>
                  <w:r w:rsidRPr="00587DF1">
                    <w:rPr>
                      <w:rFonts w:ascii="Arial" w:eastAsiaTheme="minorEastAsia" w:hAnsi="Arial" w:cs="Arial"/>
                      <w:b/>
                      <w:sz w:val="20"/>
                      <w:szCs w:val="20"/>
                      <w:highlight w:val="green"/>
                    </w:rPr>
                    <w:t>Agreement</w:t>
                  </w:r>
                  <w:r w:rsidRPr="00587DF1">
                    <w:rPr>
                      <w:rFonts w:ascii="Arial" w:eastAsiaTheme="minorEastAsia" w:hAnsi="Arial" w:cs="Arial"/>
                      <w:b/>
                      <w:sz w:val="20"/>
                      <w:szCs w:val="20"/>
                    </w:rPr>
                    <w:t xml:space="preserve"> (RAN1#120)</w:t>
                  </w:r>
                </w:p>
                <w:p w14:paraId="341C0DCE" w14:textId="77777777" w:rsidR="00586D13" w:rsidRPr="00587DF1" w:rsidRDefault="00586D13" w:rsidP="00586D13">
                  <w:pPr>
                    <w:pStyle w:val="ListParagraph"/>
                    <w:spacing w:before="120" w:after="120"/>
                    <w:ind w:left="0"/>
                    <w:jc w:val="both"/>
                    <w:rPr>
                      <w:rFonts w:ascii="Arial" w:eastAsia="Malgun Gothic" w:hAnsi="Arial" w:cs="Arial"/>
                      <w:bCs/>
                      <w:sz w:val="20"/>
                      <w:szCs w:val="20"/>
                    </w:rPr>
                  </w:pPr>
                  <w:r w:rsidRPr="00587DF1">
                    <w:rPr>
                      <w:rFonts w:ascii="Arial" w:eastAsia="Malgun Gothic" w:hAnsi="Arial" w:cs="Arial"/>
                      <w:bCs/>
                      <w:sz w:val="20"/>
                      <w:szCs w:val="20"/>
                    </w:rPr>
                    <w:t xml:space="preserve">The configuration </w:t>
                  </w:r>
                  <w:r w:rsidRPr="00587DF1">
                    <w:rPr>
                      <w:rFonts w:ascii="Arial" w:eastAsia="Microsoft YaHei" w:hAnsi="Arial" w:cs="Arial"/>
                      <w:bCs/>
                      <w:sz w:val="20"/>
                      <w:szCs w:val="20"/>
                    </w:rPr>
                    <w:t>of Configuration 1 or 2</w:t>
                  </w:r>
                  <w:r w:rsidRPr="00587DF1">
                    <w:rPr>
                      <w:rFonts w:ascii="Arial" w:eastAsia="Malgun Gothic" w:hAnsi="Arial" w:cs="Arial"/>
                      <w:bCs/>
                      <w:sz w:val="20"/>
                      <w:szCs w:val="20"/>
                    </w:rPr>
                    <w:t xml:space="preserve"> for DL BWP only applies to PDSCH receptions within the DL BWP.</w:t>
                  </w:r>
                </w:p>
                <w:p w14:paraId="334A629E" w14:textId="77777777" w:rsidR="00586D13" w:rsidRPr="00587DF1" w:rsidRDefault="00586D13" w:rsidP="00586D13">
                  <w:pPr>
                    <w:pStyle w:val="ListParagraph"/>
                    <w:spacing w:before="120" w:after="120"/>
                    <w:ind w:left="284"/>
                    <w:jc w:val="both"/>
                    <w:rPr>
                      <w:rFonts w:ascii="Arial" w:eastAsia="Malgun Gothic" w:hAnsi="Arial" w:cs="Arial"/>
                      <w:sz w:val="20"/>
                      <w:szCs w:val="20"/>
                    </w:rPr>
                  </w:pPr>
                </w:p>
                <w:p w14:paraId="47B60584" w14:textId="77777777" w:rsidR="00586D13" w:rsidRPr="00587DF1" w:rsidRDefault="00586D13" w:rsidP="00586D13">
                  <w:pPr>
                    <w:pStyle w:val="ListParagraph"/>
                    <w:spacing w:before="120" w:after="120"/>
                    <w:ind w:left="0"/>
                    <w:jc w:val="both"/>
                    <w:rPr>
                      <w:rFonts w:ascii="Arial" w:eastAsia="Malgun Gothic" w:hAnsi="Arial" w:cs="Arial"/>
                      <w:b/>
                      <w:bCs/>
                      <w:sz w:val="20"/>
                      <w:szCs w:val="20"/>
                      <w:lang w:val="en-US" w:eastAsia="ko-KR"/>
                    </w:rPr>
                  </w:pPr>
                  <w:r w:rsidRPr="00587DF1">
                    <w:rPr>
                      <w:rFonts w:ascii="Arial" w:eastAsia="Malgun Gothic" w:hAnsi="Arial" w:cs="Arial"/>
                      <w:b/>
                      <w:bCs/>
                      <w:sz w:val="20"/>
                      <w:szCs w:val="20"/>
                      <w:highlight w:val="green"/>
                      <w:lang w:val="en-US" w:eastAsia="ko-KR"/>
                    </w:rPr>
                    <w:t>Agreement</w:t>
                  </w:r>
                  <w:r w:rsidRPr="00587DF1">
                    <w:rPr>
                      <w:rFonts w:ascii="Arial" w:eastAsia="Malgun Gothic" w:hAnsi="Arial" w:cs="Arial"/>
                      <w:b/>
                      <w:bCs/>
                      <w:sz w:val="20"/>
                      <w:szCs w:val="20"/>
                      <w:lang w:val="en-US" w:eastAsia="ko-KR"/>
                    </w:rPr>
                    <w:t xml:space="preserve"> (RAN1#117)</w:t>
                  </w:r>
                </w:p>
                <w:p w14:paraId="2CFE62AF" w14:textId="77777777" w:rsidR="00586D13" w:rsidRPr="00587DF1" w:rsidRDefault="00586D13" w:rsidP="00586D13">
                  <w:pPr>
                    <w:pStyle w:val="ListParagraph"/>
                    <w:spacing w:before="120" w:after="120"/>
                    <w:ind w:left="0"/>
                    <w:jc w:val="both"/>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361CA339" w14:textId="77777777" w:rsidR="00586D13" w:rsidRPr="00587DF1" w:rsidRDefault="00586D13" w:rsidP="00586D13">
                  <w:pPr>
                    <w:pStyle w:val="ListParagraph"/>
                    <w:numPr>
                      <w:ilvl w:val="2"/>
                      <w:numId w:val="15"/>
                    </w:numPr>
                    <w:overflowPunct/>
                    <w:autoSpaceDE/>
                    <w:autoSpaceDN/>
                    <w:adjustRightInd/>
                    <w:spacing w:before="120" w:after="120"/>
                    <w:ind w:left="796"/>
                    <w:contextualSpacing/>
                    <w:jc w:val="both"/>
                    <w:textAlignment w:val="auto"/>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Configuration 1: The transmissions/receptions are restricted to SBFD symbols only or non-SBFD symbols only.</w:t>
                  </w:r>
                </w:p>
                <w:p w14:paraId="03AE9EC6" w14:textId="77777777" w:rsidR="00586D13" w:rsidRPr="00587DF1" w:rsidRDefault="00586D13" w:rsidP="00586D13">
                  <w:pPr>
                    <w:pStyle w:val="ListParagraph"/>
                    <w:numPr>
                      <w:ilvl w:val="2"/>
                      <w:numId w:val="15"/>
                    </w:numPr>
                    <w:overflowPunct/>
                    <w:autoSpaceDE/>
                    <w:autoSpaceDN/>
                    <w:adjustRightInd/>
                    <w:spacing w:before="120" w:after="120"/>
                    <w:ind w:left="796"/>
                    <w:contextualSpacing/>
                    <w:jc w:val="both"/>
                    <w:textAlignment w:val="auto"/>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lastRenderedPageBreak/>
                    <w:t>Configuration 2: The transmissions/receptions can be in SBFD symbols and non-SBFD symbols.</w:t>
                  </w:r>
                </w:p>
                <w:p w14:paraId="5D0DB5F8" w14:textId="77777777" w:rsidR="00586D13" w:rsidRPr="00587DF1" w:rsidRDefault="00586D13" w:rsidP="00586D13">
                  <w:pPr>
                    <w:pStyle w:val="ListParagraph"/>
                    <w:numPr>
                      <w:ilvl w:val="2"/>
                      <w:numId w:val="15"/>
                    </w:numPr>
                    <w:overflowPunct/>
                    <w:autoSpaceDE/>
                    <w:autoSpaceDN/>
                    <w:adjustRightInd/>
                    <w:spacing w:before="120"/>
                    <w:ind w:left="796" w:right="-99"/>
                    <w:contextualSpacing/>
                    <w:jc w:val="both"/>
                    <w:textAlignment w:val="auto"/>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FFS granularity of the configuration, e.g. per UE, per channel/signal etc.</w:t>
                  </w:r>
                </w:p>
                <w:p w14:paraId="720AD317" w14:textId="77777777" w:rsidR="00586D13" w:rsidRPr="00587DF1" w:rsidRDefault="00586D13" w:rsidP="00586D13">
                  <w:pPr>
                    <w:pStyle w:val="ListParagraph"/>
                    <w:spacing w:after="120"/>
                    <w:ind w:left="0"/>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FFS whether support of configuration 2 is subject to UE capability.</w:t>
                  </w:r>
                </w:p>
                <w:p w14:paraId="24511E0E" w14:textId="77777777" w:rsidR="00586D13" w:rsidRPr="00587DF1" w:rsidRDefault="00586D13" w:rsidP="00586D13">
                  <w:pPr>
                    <w:spacing w:after="0"/>
                    <w:rPr>
                      <w:rFonts w:ascii="Arial" w:eastAsiaTheme="minorEastAsia" w:hAnsi="Arial" w:cs="Arial"/>
                      <w:b/>
                      <w:sz w:val="20"/>
                      <w:szCs w:val="20"/>
                      <w:lang w:eastAsia="zh-CN"/>
                    </w:rPr>
                  </w:pPr>
                  <w:r w:rsidRPr="00587DF1">
                    <w:rPr>
                      <w:rFonts w:ascii="Arial" w:eastAsiaTheme="minorEastAsia" w:hAnsi="Arial" w:cs="Arial"/>
                      <w:b/>
                      <w:sz w:val="20"/>
                      <w:szCs w:val="20"/>
                      <w:highlight w:val="green"/>
                      <w:lang w:eastAsia="zh-CN"/>
                    </w:rPr>
                    <w:t>Agreement</w:t>
                  </w:r>
                  <w:r w:rsidRPr="00587DF1">
                    <w:rPr>
                      <w:rFonts w:ascii="Arial" w:eastAsiaTheme="minorEastAsia" w:hAnsi="Arial" w:cs="Arial"/>
                      <w:b/>
                      <w:sz w:val="20"/>
                      <w:szCs w:val="20"/>
                      <w:lang w:eastAsia="zh-CN"/>
                    </w:rPr>
                    <w:t xml:space="preserve"> </w:t>
                  </w:r>
                  <w:r w:rsidRPr="00587DF1">
                    <w:rPr>
                      <w:rFonts w:ascii="Arial" w:hAnsi="Arial" w:cs="Arial"/>
                      <w:b/>
                      <w:bCs/>
                      <w:color w:val="000000"/>
                      <w:sz w:val="20"/>
                      <w:szCs w:val="20"/>
                    </w:rPr>
                    <w:t>(RAN1#118bis)</w:t>
                  </w:r>
                </w:p>
                <w:p w14:paraId="56FACCEF" w14:textId="77777777" w:rsidR="00586D13" w:rsidRPr="00587DF1" w:rsidRDefault="00586D13" w:rsidP="00586D13">
                  <w:pPr>
                    <w:tabs>
                      <w:tab w:val="left" w:pos="0"/>
                    </w:tabs>
                    <w:spacing w:after="0"/>
                    <w:rPr>
                      <w:rFonts w:ascii="Arial" w:eastAsiaTheme="minorEastAsia" w:hAnsi="Arial" w:cs="Arial"/>
                      <w:sz w:val="20"/>
                      <w:szCs w:val="20"/>
                      <w:lang w:eastAsia="zh-CN"/>
                    </w:rPr>
                  </w:pPr>
                  <w:r w:rsidRPr="00587DF1">
                    <w:rPr>
                      <w:rFonts w:ascii="Arial" w:eastAsiaTheme="minorEastAsia" w:hAnsi="Arial" w:cs="Arial"/>
                      <w:sz w:val="20"/>
                      <w:szCs w:val="20"/>
                      <w:lang w:eastAsia="zh-CN"/>
                    </w:rPr>
                    <w:t xml:space="preserve">For UL transmissions and DL receptions across SBFD symbols and non-SBFD symbols in different slots (each transmission/reception within a slot has either all SBFD or all non-SBFD symbols) for an SBFD aware UE, </w:t>
                  </w:r>
                </w:p>
                <w:p w14:paraId="6E94E276" w14:textId="77777777" w:rsidR="00586D13" w:rsidRPr="00587DF1" w:rsidRDefault="00586D13" w:rsidP="00586D13">
                  <w:pPr>
                    <w:numPr>
                      <w:ilvl w:val="0"/>
                      <w:numId w:val="14"/>
                    </w:numPr>
                    <w:overflowPunct/>
                    <w:autoSpaceDE/>
                    <w:autoSpaceDN/>
                    <w:adjustRightInd/>
                    <w:spacing w:after="0"/>
                    <w:textAlignment w:val="auto"/>
                    <w:rPr>
                      <w:rFonts w:ascii="Arial" w:eastAsia="Malgun Gothic" w:hAnsi="Arial" w:cs="Arial"/>
                      <w:sz w:val="20"/>
                      <w:szCs w:val="20"/>
                      <w:lang w:eastAsia="zh-CN"/>
                    </w:rPr>
                  </w:pPr>
                  <w:r w:rsidRPr="00587DF1">
                    <w:rPr>
                      <w:rFonts w:ascii="Arial" w:eastAsia="Malgun Gothic" w:hAnsi="Arial" w:cs="Arial"/>
                      <w:sz w:val="20"/>
                      <w:szCs w:val="20"/>
                      <w:lang w:eastAsia="zh-CN"/>
                    </w:rPr>
                    <w:t xml:space="preserve">Support </w:t>
                  </w:r>
                  <w:r w:rsidRPr="00587DF1">
                    <w:rPr>
                      <w:rFonts w:ascii="Arial" w:eastAsiaTheme="minorEastAsia" w:hAnsi="Arial" w:cs="Arial"/>
                      <w:sz w:val="20"/>
                      <w:szCs w:val="20"/>
                      <w:lang w:eastAsia="zh-CN"/>
                    </w:rPr>
                    <w:t>of configuration 2 is subject to UE capability. Configuration 1 is the default capability.</w:t>
                  </w:r>
                </w:p>
                <w:p w14:paraId="60C0A973" w14:textId="77777777" w:rsidR="00586D13" w:rsidRPr="00587DF1" w:rsidRDefault="00586D13" w:rsidP="00586D13">
                  <w:pPr>
                    <w:numPr>
                      <w:ilvl w:val="0"/>
                      <w:numId w:val="14"/>
                    </w:numPr>
                    <w:overflowPunct/>
                    <w:autoSpaceDE/>
                    <w:autoSpaceDN/>
                    <w:adjustRightInd/>
                    <w:spacing w:after="0"/>
                    <w:textAlignment w:val="auto"/>
                    <w:rPr>
                      <w:rFonts w:ascii="Arial" w:eastAsia="Malgun Gothic" w:hAnsi="Arial" w:cs="Arial"/>
                      <w:sz w:val="20"/>
                      <w:szCs w:val="20"/>
                      <w:lang w:eastAsia="zh-CN"/>
                    </w:rPr>
                  </w:pPr>
                  <w:r w:rsidRPr="00587DF1">
                    <w:rPr>
                      <w:rFonts w:ascii="Arial" w:eastAsia="Malgun Gothic" w:hAnsi="Arial" w:cs="Arial"/>
                      <w:sz w:val="20"/>
                      <w:szCs w:val="20"/>
                      <w:lang w:eastAsia="zh-CN"/>
                    </w:rPr>
                    <w:t>SBFD-aware UE can be configured with Configuration 2 on a per UL/DL BWP basis.</w:t>
                  </w:r>
                </w:p>
                <w:p w14:paraId="5A317FDC" w14:textId="77777777" w:rsidR="00586D13" w:rsidRPr="00587DF1" w:rsidRDefault="00586D13" w:rsidP="00586D13">
                  <w:pPr>
                    <w:numPr>
                      <w:ilvl w:val="1"/>
                      <w:numId w:val="14"/>
                    </w:numPr>
                    <w:overflowPunct/>
                    <w:autoSpaceDE/>
                    <w:autoSpaceDN/>
                    <w:adjustRightInd/>
                    <w:spacing w:after="0"/>
                    <w:textAlignment w:val="auto"/>
                    <w:rPr>
                      <w:rFonts w:ascii="Arial" w:eastAsia="Malgun Gothic" w:hAnsi="Arial" w:cs="Arial"/>
                      <w:sz w:val="20"/>
                      <w:szCs w:val="20"/>
                      <w:lang w:eastAsia="zh-CN"/>
                    </w:rPr>
                  </w:pPr>
                  <w:r w:rsidRPr="00587DF1">
                    <w:rPr>
                      <w:rFonts w:ascii="Arial" w:eastAsia="Malgun Gothic" w:hAnsi="Arial" w:cs="Arial"/>
                      <w:sz w:val="20"/>
                      <w:szCs w:val="20"/>
                      <w:lang w:eastAsia="zh-CN"/>
                    </w:rPr>
                    <w:t>The configuration for DL BWP at least applies to PDSCH receptions within the DL BWP.</w:t>
                  </w:r>
                </w:p>
                <w:p w14:paraId="38030805" w14:textId="77777777" w:rsidR="00586D13" w:rsidRPr="00587DF1" w:rsidRDefault="00586D13" w:rsidP="00586D13">
                  <w:pPr>
                    <w:numPr>
                      <w:ilvl w:val="1"/>
                      <w:numId w:val="14"/>
                    </w:numPr>
                    <w:overflowPunct/>
                    <w:autoSpaceDE/>
                    <w:autoSpaceDN/>
                    <w:adjustRightInd/>
                    <w:spacing w:after="0"/>
                    <w:textAlignment w:val="auto"/>
                    <w:rPr>
                      <w:rFonts w:ascii="Arial" w:eastAsia="Malgun Gothic" w:hAnsi="Arial" w:cs="Arial"/>
                      <w:sz w:val="20"/>
                      <w:szCs w:val="20"/>
                      <w:lang w:eastAsia="zh-CN"/>
                    </w:rPr>
                  </w:pPr>
                  <w:r w:rsidRPr="00587DF1">
                    <w:rPr>
                      <w:rFonts w:ascii="Arial" w:eastAsia="Malgun Gothic" w:hAnsi="Arial" w:cs="Arial"/>
                      <w:sz w:val="20"/>
                      <w:szCs w:val="20"/>
                      <w:lang w:eastAsia="zh-CN"/>
                    </w:rPr>
                    <w:t>The configuration for UL BWP applies to PUCCH and PUSCH transmissions within the UL BWP.</w:t>
                  </w:r>
                </w:p>
                <w:p w14:paraId="67576D46" w14:textId="77777777" w:rsidR="00586D13" w:rsidRPr="00587DF1" w:rsidRDefault="00586D13" w:rsidP="00586D13">
                  <w:pPr>
                    <w:numPr>
                      <w:ilvl w:val="2"/>
                      <w:numId w:val="14"/>
                    </w:numPr>
                    <w:overflowPunct/>
                    <w:autoSpaceDE/>
                    <w:autoSpaceDN/>
                    <w:adjustRightInd/>
                    <w:spacing w:after="0"/>
                    <w:textAlignment w:val="auto"/>
                    <w:rPr>
                      <w:rFonts w:ascii="Arial" w:eastAsia="Malgun Gothic" w:hAnsi="Arial" w:cs="Arial"/>
                      <w:sz w:val="20"/>
                      <w:szCs w:val="20"/>
                    </w:rPr>
                  </w:pPr>
                  <w:r w:rsidRPr="00587DF1">
                    <w:rPr>
                      <w:rFonts w:ascii="Arial" w:eastAsia="Malgun Gothic" w:hAnsi="Arial" w:cs="Arial"/>
                      <w:sz w:val="20"/>
                      <w:szCs w:val="20"/>
                      <w:lang w:eastAsia="zh-CN"/>
                    </w:rPr>
                    <w:t>For SRS, only Configuration 1 is applicable.</w:t>
                  </w:r>
                </w:p>
              </w:tc>
            </w:tr>
          </w:tbl>
          <w:p w14:paraId="6DC9DF84" w14:textId="77777777" w:rsidR="00586D13" w:rsidRPr="00587DF1" w:rsidRDefault="00586D13" w:rsidP="00586D13">
            <w:pPr>
              <w:pStyle w:val="ListParagraph"/>
              <w:numPr>
                <w:ilvl w:val="0"/>
                <w:numId w:val="16"/>
              </w:numPr>
              <w:overflowPunct/>
              <w:autoSpaceDE/>
              <w:autoSpaceDN/>
              <w:adjustRightInd/>
              <w:spacing w:before="240" w:after="120"/>
              <w:ind w:left="357" w:hanging="357"/>
              <w:jc w:val="both"/>
              <w:textAlignment w:val="auto"/>
              <w:rPr>
                <w:rFonts w:ascii="Arial" w:hAnsi="Arial" w:cs="Arial"/>
                <w:sz w:val="20"/>
                <w:szCs w:val="20"/>
              </w:rPr>
            </w:pPr>
            <w:r w:rsidRPr="00587DF1">
              <w:rPr>
                <w:rFonts w:ascii="Arial" w:hAnsi="Arial" w:cs="Arial"/>
                <w:sz w:val="20"/>
                <w:szCs w:val="20"/>
              </w:rPr>
              <w:lastRenderedPageBreak/>
              <w:t>The following RAN1 agreements for CSI reporting are applicable to CSI-RS based L1-RSRP/SINR measurement/reporting.</w:t>
            </w:r>
          </w:p>
          <w:tbl>
            <w:tblPr>
              <w:tblStyle w:val="TableGrid"/>
              <w:tblW w:w="0" w:type="auto"/>
              <w:tblInd w:w="360" w:type="dxa"/>
              <w:tblLook w:val="04A0" w:firstRow="1" w:lastRow="0" w:firstColumn="1" w:lastColumn="0" w:noHBand="0" w:noVBand="1"/>
            </w:tblPr>
            <w:tblGrid>
              <w:gridCol w:w="8060"/>
            </w:tblGrid>
            <w:tr w:rsidR="00586D13" w:rsidRPr="00587DF1" w14:paraId="3EC236DD" w14:textId="77777777" w:rsidTr="001B6ECB">
              <w:tc>
                <w:tcPr>
                  <w:tcW w:w="9629" w:type="dxa"/>
                </w:tcPr>
                <w:p w14:paraId="7490CCBA" w14:textId="77777777" w:rsidR="00586D13" w:rsidRPr="00587DF1" w:rsidRDefault="00586D13" w:rsidP="00586D13">
                  <w:pPr>
                    <w:spacing w:after="0"/>
                    <w:ind w:right="-96"/>
                    <w:jc w:val="both"/>
                    <w:rPr>
                      <w:rFonts w:ascii="Arial" w:eastAsia="Malgun Gothic" w:hAnsi="Arial" w:cs="Arial"/>
                      <w:b/>
                      <w:bCs/>
                      <w:sz w:val="20"/>
                      <w:szCs w:val="20"/>
                      <w:lang w:val="en-US" w:eastAsia="ko-KR"/>
                    </w:rPr>
                  </w:pPr>
                  <w:r w:rsidRPr="00587DF1">
                    <w:rPr>
                      <w:rFonts w:ascii="Arial" w:eastAsia="Malgun Gothic" w:hAnsi="Arial" w:cs="Arial"/>
                      <w:b/>
                      <w:bCs/>
                      <w:sz w:val="20"/>
                      <w:szCs w:val="20"/>
                      <w:highlight w:val="green"/>
                      <w:lang w:val="en-US" w:eastAsia="ko-KR"/>
                    </w:rPr>
                    <w:t>Agreement</w:t>
                  </w:r>
                  <w:r w:rsidRPr="00587DF1">
                    <w:rPr>
                      <w:rFonts w:ascii="Arial" w:eastAsia="Malgun Gothic" w:hAnsi="Arial" w:cs="Arial"/>
                      <w:b/>
                      <w:bCs/>
                      <w:sz w:val="20"/>
                      <w:szCs w:val="20"/>
                      <w:lang w:val="en-US" w:eastAsia="ko-KR"/>
                    </w:rPr>
                    <w:t xml:space="preserve"> (RAN1#118bis)</w:t>
                  </w:r>
                </w:p>
                <w:p w14:paraId="720AEC7C" w14:textId="77777777" w:rsidR="00586D13" w:rsidRPr="00587DF1" w:rsidRDefault="00586D13" w:rsidP="00586D13">
                  <w:pPr>
                    <w:spacing w:after="120"/>
                    <w:jc w:val="both"/>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281F4710" w14:textId="77777777" w:rsidR="00586D13" w:rsidRPr="00587DF1" w:rsidRDefault="00586D13" w:rsidP="00586D13">
                  <w:pPr>
                    <w:spacing w:after="0"/>
                    <w:jc w:val="both"/>
                    <w:rPr>
                      <w:rFonts w:ascii="Arial" w:eastAsiaTheme="minorEastAsia" w:hAnsi="Arial" w:cs="Arial"/>
                      <w:b/>
                      <w:sz w:val="20"/>
                      <w:szCs w:val="20"/>
                    </w:rPr>
                  </w:pPr>
                  <w:r w:rsidRPr="00587DF1">
                    <w:rPr>
                      <w:rFonts w:ascii="Arial" w:eastAsiaTheme="minorEastAsia" w:hAnsi="Arial" w:cs="Arial"/>
                      <w:b/>
                      <w:sz w:val="20"/>
                      <w:szCs w:val="20"/>
                      <w:highlight w:val="green"/>
                    </w:rPr>
                    <w:t>Agreement</w:t>
                  </w:r>
                  <w:r w:rsidRPr="00587DF1">
                    <w:rPr>
                      <w:rFonts w:ascii="Arial" w:eastAsiaTheme="minorEastAsia" w:hAnsi="Arial" w:cs="Arial"/>
                      <w:b/>
                      <w:sz w:val="20"/>
                      <w:szCs w:val="20"/>
                    </w:rPr>
                    <w:t xml:space="preserve"> </w:t>
                  </w:r>
                  <w:r w:rsidRPr="00587DF1">
                    <w:rPr>
                      <w:rFonts w:ascii="Arial" w:eastAsia="Malgun Gothic" w:hAnsi="Arial" w:cs="Arial"/>
                      <w:b/>
                      <w:bCs/>
                      <w:sz w:val="20"/>
                      <w:szCs w:val="20"/>
                      <w:lang w:val="en-US" w:eastAsia="ko-KR"/>
                    </w:rPr>
                    <w:t>(RAN1#120)</w:t>
                  </w:r>
                </w:p>
                <w:p w14:paraId="52F5E796" w14:textId="77777777" w:rsidR="00586D13" w:rsidRPr="00587DF1" w:rsidRDefault="00586D13" w:rsidP="00586D13">
                  <w:pPr>
                    <w:rPr>
                      <w:rFonts w:ascii="Arial" w:hAnsi="Arial" w:cs="Arial"/>
                      <w:bCs/>
                      <w:sz w:val="20"/>
                      <w:szCs w:val="20"/>
                    </w:rPr>
                  </w:pPr>
                  <w:r w:rsidRPr="00587DF1">
                    <w:rPr>
                      <w:rFonts w:ascii="Arial" w:eastAsia="Malgun Gothic" w:hAnsi="Arial" w:cs="Arial"/>
                      <w:bCs/>
                      <w:sz w:val="20"/>
                      <w:szCs w:val="20"/>
                    </w:rPr>
                    <w:t>For a CSI report associated with periodic/semi-persistent CSI-RS, the valid symbol type for CSI derivation</w:t>
                  </w:r>
                  <w:r w:rsidRPr="00587DF1">
                    <w:rPr>
                      <w:rFonts w:ascii="Arial" w:eastAsiaTheme="minorEastAsia" w:hAnsi="Arial" w:cs="Arial"/>
                      <w:bCs/>
                      <w:sz w:val="20"/>
                      <w:szCs w:val="20"/>
                    </w:rPr>
                    <w:t xml:space="preserve"> is configured in </w:t>
                  </w:r>
                  <w:r w:rsidRPr="00587DF1">
                    <w:rPr>
                      <w:rFonts w:ascii="Arial" w:eastAsiaTheme="minorEastAsia" w:hAnsi="Arial" w:cs="Arial"/>
                      <w:bCs/>
                      <w:i/>
                      <w:sz w:val="20"/>
                      <w:szCs w:val="20"/>
                    </w:rPr>
                    <w:t>CSI-ReportConfig</w:t>
                  </w:r>
                  <w:r w:rsidRPr="00587DF1">
                    <w:rPr>
                      <w:rFonts w:ascii="Arial" w:eastAsiaTheme="minorEastAsia" w:hAnsi="Arial" w:cs="Arial"/>
                      <w:bCs/>
                      <w:sz w:val="20"/>
                      <w:szCs w:val="20"/>
                    </w:rPr>
                    <w:t>.</w:t>
                  </w:r>
                </w:p>
              </w:tc>
            </w:tr>
          </w:tbl>
          <w:p w14:paraId="723ED9E0" w14:textId="77777777" w:rsidR="00586D13" w:rsidRPr="00587DF1" w:rsidRDefault="00586D13" w:rsidP="0083352D">
            <w:pPr>
              <w:rPr>
                <w:rFonts w:ascii="Arial" w:hAnsi="Arial" w:cs="Arial"/>
                <w:sz w:val="20"/>
                <w:szCs w:val="20"/>
              </w:rPr>
            </w:pPr>
          </w:p>
        </w:tc>
      </w:tr>
    </w:tbl>
    <w:p w14:paraId="7B13E475" w14:textId="77777777" w:rsidR="00586D13" w:rsidRDefault="00586D13" w:rsidP="0083352D">
      <w:pPr>
        <w:rPr>
          <w:rFonts w:ascii="Arial" w:hAnsi="Arial" w:cs="Arial"/>
          <w:sz w:val="22"/>
          <w:szCs w:val="18"/>
        </w:rPr>
      </w:pPr>
    </w:p>
    <w:p w14:paraId="4B5D792F" w14:textId="07D07473" w:rsidR="00D174A3" w:rsidRPr="00E92564" w:rsidRDefault="00DF3716" w:rsidP="00E96BDA">
      <w:pPr>
        <w:rPr>
          <w:rFonts w:cs="Arial"/>
        </w:rPr>
      </w:pPr>
      <w:r>
        <w:rPr>
          <w:rFonts w:ascii="Arial" w:hAnsi="Arial" w:cs="Arial"/>
          <w:color w:val="000000"/>
          <w:lang w:val="en-US"/>
        </w:rPr>
        <w:t xml:space="preserve">Based on the LS reply, </w:t>
      </w:r>
      <w:r w:rsidR="00586D13">
        <w:rPr>
          <w:rFonts w:ascii="Arial" w:hAnsi="Arial" w:cs="Arial"/>
          <w:color w:val="000000"/>
          <w:lang w:val="en-US"/>
        </w:rPr>
        <w:t xml:space="preserve">the </w:t>
      </w:r>
      <w:r>
        <w:rPr>
          <w:rFonts w:ascii="Arial" w:hAnsi="Arial" w:cs="Arial"/>
          <w:color w:val="000000"/>
          <w:lang w:val="en-US"/>
        </w:rPr>
        <w:t>below observations can be made</w:t>
      </w:r>
      <w:r w:rsidR="00586D13">
        <w:rPr>
          <w:rFonts w:ascii="Arial" w:hAnsi="Arial" w:cs="Arial"/>
          <w:color w:val="000000"/>
          <w:lang w:val="en-US"/>
        </w:rPr>
        <w:t>:</w:t>
      </w:r>
    </w:p>
    <w:p w14:paraId="20FE9F95" w14:textId="0A8B7955" w:rsidR="00D174A3" w:rsidRPr="006467B6" w:rsidRDefault="00DF3716" w:rsidP="00D174A3">
      <w:pPr>
        <w:pStyle w:val="Observation"/>
        <w:tabs>
          <w:tab w:val="num" w:pos="3554"/>
        </w:tabs>
        <w:spacing w:before="240"/>
        <w:ind w:left="360" w:hanging="360"/>
      </w:pPr>
      <w:bookmarkStart w:id="3" w:name="_Toc197642207"/>
      <w:r w:rsidRPr="00184530">
        <w:t xml:space="preserve">Configuration 1 and Configuration 2 </w:t>
      </w:r>
      <w:r>
        <w:t xml:space="preserve">on UL transmissions and DL reception </w:t>
      </w:r>
      <w:r>
        <w:rPr>
          <w:rFonts w:eastAsiaTheme="minorEastAsia" w:cs="Times"/>
          <w:lang w:eastAsia="zh-CN"/>
        </w:rPr>
        <w:t xml:space="preserve">across SBFD symbols and non-SBFD symbols in different slots </w:t>
      </w:r>
      <w:r w:rsidRPr="00184530">
        <w:t>are not applicable to CSI-RS resources configuration and CSI-RS based RLM/BFD/CBD measurement</w:t>
      </w:r>
      <w:r w:rsidR="00D174A3">
        <w:rPr>
          <w:rFonts w:cs="Arial"/>
          <w:lang w:eastAsia="zh-CN"/>
        </w:rPr>
        <w:t>.</w:t>
      </w:r>
      <w:bookmarkEnd w:id="3"/>
    </w:p>
    <w:p w14:paraId="7E8DD81C" w14:textId="6E527252" w:rsidR="00DF3716" w:rsidRPr="006467B6" w:rsidRDefault="00DF3716" w:rsidP="00DF3716">
      <w:pPr>
        <w:pStyle w:val="Observation"/>
        <w:tabs>
          <w:tab w:val="num" w:pos="3554"/>
        </w:tabs>
        <w:spacing w:before="240"/>
        <w:ind w:left="360" w:hanging="360"/>
      </w:pPr>
      <w:bookmarkStart w:id="4" w:name="_Toc197642208"/>
      <w:r>
        <w:t xml:space="preserve">UE can provide separate CSI reports to the gNB according to the configured valid symbol type in the corresponding </w:t>
      </w:r>
      <w:r w:rsidRPr="001200E1">
        <w:rPr>
          <w:rFonts w:eastAsiaTheme="minorEastAsia" w:hint="eastAsia"/>
          <w:i/>
        </w:rPr>
        <w:t>CSI-</w:t>
      </w:r>
      <w:proofErr w:type="spellStart"/>
      <w:r w:rsidRPr="001200E1">
        <w:rPr>
          <w:rFonts w:eastAsiaTheme="minorEastAsia" w:hint="eastAsia"/>
          <w:i/>
        </w:rPr>
        <w:t>ReportConfig</w:t>
      </w:r>
      <w:proofErr w:type="spellEnd"/>
      <w:r>
        <w:rPr>
          <w:rFonts w:cs="Arial"/>
          <w:lang w:eastAsia="zh-CN"/>
        </w:rPr>
        <w:t>.</w:t>
      </w:r>
      <w:bookmarkEnd w:id="4"/>
    </w:p>
    <w:p w14:paraId="37FD2E5D" w14:textId="34CC1EF2" w:rsidR="00DF3716" w:rsidRPr="006467B6" w:rsidRDefault="00DF3716" w:rsidP="00DF3716">
      <w:pPr>
        <w:pStyle w:val="Observation"/>
        <w:tabs>
          <w:tab w:val="num" w:pos="3554"/>
        </w:tabs>
        <w:spacing w:before="240"/>
        <w:ind w:left="360" w:hanging="360"/>
      </w:pPr>
      <w:bookmarkStart w:id="5" w:name="_Toc197642209"/>
      <w:r>
        <w:t xml:space="preserve">RAN1 doesn’t indicate whether the valid symbol type can be included in </w:t>
      </w:r>
      <w:proofErr w:type="spellStart"/>
      <w:r w:rsidRPr="006D0C02">
        <w:rPr>
          <w:i/>
        </w:rPr>
        <w:t>RadioLinkMonitoringConfig</w:t>
      </w:r>
      <w:proofErr w:type="spellEnd"/>
      <w:r>
        <w:rPr>
          <w:i/>
        </w:rPr>
        <w:t xml:space="preserve"> </w:t>
      </w:r>
      <w:r w:rsidRPr="001E7655">
        <w:rPr>
          <w:iCs/>
        </w:rPr>
        <w:t>and</w:t>
      </w:r>
      <w:r>
        <w:rPr>
          <w:i/>
        </w:rPr>
        <w:t xml:space="preserve"> </w:t>
      </w:r>
      <w:proofErr w:type="spellStart"/>
      <w:r w:rsidR="007C5764" w:rsidRPr="007C5764">
        <w:rPr>
          <w:rFonts w:cs="Arial"/>
          <w:i/>
          <w:sz w:val="18"/>
          <w:szCs w:val="18"/>
        </w:rPr>
        <w:t>BeamFailureRecoveryConfig</w:t>
      </w:r>
      <w:proofErr w:type="spellEnd"/>
      <w:r>
        <w:rPr>
          <w:rFonts w:cs="Arial"/>
          <w:lang w:eastAsia="zh-CN"/>
        </w:rPr>
        <w:t>.</w:t>
      </w:r>
      <w:bookmarkEnd w:id="5"/>
    </w:p>
    <w:p w14:paraId="2DCD8FB2" w14:textId="14BC55E2" w:rsidR="00DF3716" w:rsidRPr="001E7655" w:rsidRDefault="007C5764" w:rsidP="0083352D">
      <w:pPr>
        <w:rPr>
          <w:rFonts w:ascii="Arial" w:hAnsi="Arial" w:cs="Arial"/>
          <w:lang w:val="en-US" w:eastAsia="zh-CN"/>
        </w:rPr>
      </w:pPr>
      <w:r w:rsidRPr="007C5764">
        <w:rPr>
          <w:rFonts w:ascii="Arial" w:hAnsi="Arial" w:cs="Arial"/>
        </w:rPr>
        <w:t xml:space="preserve">Since RAN1 has not indicated whether the valid symbol type can be included in </w:t>
      </w:r>
      <w:proofErr w:type="spellStart"/>
      <w:r w:rsidRPr="001E7655">
        <w:rPr>
          <w:rFonts w:ascii="Arial" w:hAnsi="Arial" w:cs="Arial"/>
          <w:i/>
        </w:rPr>
        <w:t>RadioLinkMonitoringConfig</w:t>
      </w:r>
      <w:proofErr w:type="spellEnd"/>
      <w:r w:rsidRPr="001E7655">
        <w:rPr>
          <w:rFonts w:ascii="Arial" w:hAnsi="Arial" w:cs="Arial"/>
          <w:i/>
        </w:rPr>
        <w:t xml:space="preserve"> </w:t>
      </w:r>
      <w:r w:rsidRPr="001E7655">
        <w:rPr>
          <w:rFonts w:ascii="Arial" w:hAnsi="Arial" w:cs="Arial"/>
          <w:iCs/>
        </w:rPr>
        <w:t>and</w:t>
      </w:r>
      <w:r w:rsidRPr="001E7655">
        <w:rPr>
          <w:rFonts w:ascii="Arial" w:hAnsi="Arial" w:cs="Arial"/>
          <w:i/>
        </w:rPr>
        <w:t xml:space="preserve"> </w:t>
      </w:r>
      <w:proofErr w:type="spellStart"/>
      <w:r w:rsidRPr="001E7655">
        <w:rPr>
          <w:rFonts w:ascii="Arial" w:hAnsi="Arial" w:cs="Arial"/>
          <w:iCs/>
        </w:rPr>
        <w:t>BeamFailureRecoveryConfig</w:t>
      </w:r>
      <w:proofErr w:type="spellEnd"/>
      <w:r w:rsidRPr="001E7655">
        <w:rPr>
          <w:rFonts w:ascii="Arial" w:hAnsi="Arial" w:cs="Arial"/>
          <w:iCs/>
        </w:rPr>
        <w:t xml:space="preserve">, RAN2 can </w:t>
      </w:r>
      <w:r w:rsidRPr="001E7655">
        <w:rPr>
          <w:rFonts w:ascii="Arial" w:hAnsi="Arial" w:cs="Arial"/>
          <w:iCs/>
          <w:lang w:eastAsia="zh-CN"/>
        </w:rPr>
        <w:t xml:space="preserve">assume that there is no enhancement needed for </w:t>
      </w:r>
      <w:r w:rsidRPr="001E7655">
        <w:rPr>
          <w:rFonts w:ascii="Arial" w:hAnsi="Arial" w:cs="Arial"/>
        </w:rPr>
        <w:t>RLM/BFD/CBD measurements</w:t>
      </w:r>
      <w:r>
        <w:rPr>
          <w:rFonts w:ascii="Arial" w:hAnsi="Arial" w:cs="Arial"/>
        </w:rPr>
        <w:t xml:space="preserve"> unless RAN1/RAN4 indicates to RAN2 for further actions. Even without any enhancement for </w:t>
      </w:r>
      <w:r w:rsidRPr="00987AA6">
        <w:rPr>
          <w:rFonts w:ascii="Arial" w:hAnsi="Arial" w:cs="Arial"/>
        </w:rPr>
        <w:t>RLM/BFD/CBD measurements</w:t>
      </w:r>
      <w:r>
        <w:rPr>
          <w:rFonts w:ascii="Arial" w:hAnsi="Arial" w:cs="Arial"/>
        </w:rPr>
        <w:t>, the gNB can provide proper settings (</w:t>
      </w:r>
      <w:r w:rsidRPr="002E4C88">
        <w:rPr>
          <w:rFonts w:ascii="Arial" w:hAnsi="Arial" w:cs="Arial"/>
        </w:rPr>
        <w:t xml:space="preserve">e.g., </w:t>
      </w:r>
      <w:proofErr w:type="spellStart"/>
      <w:r w:rsidR="002E4C88" w:rsidRPr="001E7655">
        <w:rPr>
          <w:rFonts w:ascii="Arial" w:hAnsi="Arial" w:cs="Arial"/>
          <w:i/>
          <w:iCs/>
        </w:rPr>
        <w:t>beamFailureDetectionTimer</w:t>
      </w:r>
      <w:proofErr w:type="spellEnd"/>
      <w:r w:rsidR="002E4C88" w:rsidRPr="002E4C88">
        <w:rPr>
          <w:rFonts w:ascii="Arial" w:hAnsi="Arial" w:cs="Arial"/>
        </w:rPr>
        <w:t xml:space="preserve"> </w:t>
      </w:r>
      <w:r w:rsidRPr="002E4C88">
        <w:rPr>
          <w:rFonts w:ascii="Arial" w:hAnsi="Arial" w:cs="Arial"/>
        </w:rPr>
        <w:t xml:space="preserve">and/or </w:t>
      </w:r>
      <w:proofErr w:type="spellStart"/>
      <w:r w:rsidR="002E4C88" w:rsidRPr="001E7655">
        <w:rPr>
          <w:rFonts w:ascii="Arial" w:hAnsi="Arial" w:cs="Arial"/>
          <w:i/>
          <w:iCs/>
        </w:rPr>
        <w:t>beamFailureInstanceMaxCount</w:t>
      </w:r>
      <w:proofErr w:type="spellEnd"/>
      <w:r>
        <w:rPr>
          <w:rFonts w:ascii="Arial" w:hAnsi="Arial" w:cs="Arial"/>
        </w:rPr>
        <w:t xml:space="preserve">) </w:t>
      </w:r>
      <w:r w:rsidR="002E4C88">
        <w:rPr>
          <w:rFonts w:ascii="Arial" w:hAnsi="Arial" w:cs="Arial"/>
        </w:rPr>
        <w:t>to the UE to accommodate differences between CSI-RS measurement results in legacy symbols and in SBFD symbols.</w:t>
      </w:r>
    </w:p>
    <w:p w14:paraId="7E5ED96E" w14:textId="77A45F39" w:rsidR="0012283E" w:rsidRPr="006C2629" w:rsidRDefault="003A211E" w:rsidP="00B12904">
      <w:pPr>
        <w:pStyle w:val="Proposal"/>
      </w:pPr>
      <w:bookmarkStart w:id="6" w:name="_Toc197642211"/>
      <w:r>
        <w:rPr>
          <w:rFonts w:cs="Arial"/>
          <w:iCs/>
        </w:rPr>
        <w:t>N</w:t>
      </w:r>
      <w:r w:rsidR="00B458D4" w:rsidRPr="001E7655">
        <w:rPr>
          <w:rFonts w:cs="Arial"/>
          <w:iCs/>
        </w:rPr>
        <w:t xml:space="preserve">o enhancement </w:t>
      </w:r>
      <w:r>
        <w:rPr>
          <w:rFonts w:cs="Arial"/>
          <w:iCs/>
        </w:rPr>
        <w:t xml:space="preserve">is </w:t>
      </w:r>
      <w:r w:rsidR="00B458D4" w:rsidRPr="001E7655">
        <w:rPr>
          <w:rFonts w:cs="Arial"/>
          <w:iCs/>
        </w:rPr>
        <w:t xml:space="preserve">needed for </w:t>
      </w:r>
      <w:r w:rsidR="002303A9">
        <w:rPr>
          <w:rFonts w:cs="Arial"/>
          <w:iCs/>
        </w:rPr>
        <w:t xml:space="preserve">CSI-RS based </w:t>
      </w:r>
      <w:r w:rsidR="00B458D4" w:rsidRPr="001E7655">
        <w:rPr>
          <w:rFonts w:cs="Arial"/>
        </w:rPr>
        <w:t>RLM/BFD/CBD measurements</w:t>
      </w:r>
      <w:r w:rsidR="00B458D4">
        <w:rPr>
          <w:rFonts w:cs="Arial"/>
        </w:rPr>
        <w:t>.</w:t>
      </w:r>
      <w:bookmarkEnd w:id="6"/>
      <w:r w:rsidR="00B458D4" w:rsidRPr="00B458D4" w:rsidDel="007C5764">
        <w:rPr>
          <w:rFonts w:cs="Arial"/>
        </w:rPr>
        <w:t xml:space="preserve"> </w:t>
      </w:r>
      <w:bookmarkStart w:id="7" w:name="_Toc193448180"/>
      <w:bookmarkStart w:id="8" w:name="_Toc193448181"/>
      <w:bookmarkStart w:id="9" w:name="_Toc193448182"/>
      <w:bookmarkStart w:id="10" w:name="_Toc193448183"/>
      <w:bookmarkStart w:id="11" w:name="_Toc193448184"/>
      <w:bookmarkStart w:id="12" w:name="_Toc193448185"/>
      <w:bookmarkStart w:id="13" w:name="_Toc193448186"/>
      <w:bookmarkStart w:id="14" w:name="_Toc193448187"/>
      <w:bookmarkStart w:id="15" w:name="_Toc193448188"/>
      <w:bookmarkStart w:id="16" w:name="_Toc193448189"/>
      <w:bookmarkStart w:id="17" w:name="_Toc193448190"/>
      <w:bookmarkStart w:id="18" w:name="_Toc193448191"/>
      <w:bookmarkStart w:id="19" w:name="_Toc193448192"/>
      <w:bookmarkStart w:id="20" w:name="_Toc193448193"/>
      <w:bookmarkStart w:id="21" w:name="_Toc193448194"/>
      <w:bookmarkStart w:id="22" w:name="_Toc193448195"/>
      <w:bookmarkStart w:id="23" w:name="_Toc193448196"/>
      <w:bookmarkStart w:id="24" w:name="_Toc193448197"/>
      <w:bookmarkStart w:id="25" w:name="_Toc193448198"/>
      <w:bookmarkStart w:id="26" w:name="_Toc193448199"/>
      <w:bookmarkStart w:id="27" w:name="_Toc193448200"/>
      <w:bookmarkStart w:id="28" w:name="_Toc193448201"/>
      <w:bookmarkStart w:id="29" w:name="_Toc193448202"/>
      <w:bookmarkStart w:id="30" w:name="_Toc193448203"/>
      <w:bookmarkStart w:id="31" w:name="_Toc193448204"/>
      <w:bookmarkStart w:id="32" w:name="_Toc193448205"/>
      <w:bookmarkStart w:id="33" w:name="_Toc193448206"/>
      <w:bookmarkStart w:id="34" w:name="_Toc193448207"/>
      <w:bookmarkStart w:id="35" w:name="_Toc193448208"/>
      <w:bookmarkStart w:id="36" w:name="_Toc193448209"/>
      <w:bookmarkStart w:id="37" w:name="_Toc193448210"/>
      <w:bookmarkStart w:id="38" w:name="_Toc193448211"/>
      <w:bookmarkStart w:id="39" w:name="_Toc193448212"/>
      <w:bookmarkStart w:id="40" w:name="_Toc193448213"/>
      <w:bookmarkStart w:id="41" w:name="_Toc193448214"/>
      <w:bookmarkStart w:id="42" w:name="_Toc193448215"/>
      <w:bookmarkStart w:id="43" w:name="_Toc193448216"/>
      <w:bookmarkStart w:id="44" w:name="_Toc193448217"/>
      <w:bookmarkStart w:id="45" w:name="_Toc193448218"/>
      <w:bookmarkStart w:id="46" w:name="_Toc193448219"/>
      <w:bookmarkStart w:id="47" w:name="_Toc193448220"/>
      <w:bookmarkStart w:id="48" w:name="_Toc193448221"/>
      <w:bookmarkStart w:id="49" w:name="_Toc193448222"/>
      <w:bookmarkStart w:id="50" w:name="_Toc193448223"/>
      <w:bookmarkStart w:id="51" w:name="_Toc193448224"/>
      <w:bookmarkStart w:id="52" w:name="_Toc193448225"/>
      <w:bookmarkStart w:id="53" w:name="_Toc193448226"/>
      <w:bookmarkStart w:id="54" w:name="_Toc193448227"/>
      <w:bookmarkStart w:id="55" w:name="_Toc193448228"/>
      <w:bookmarkStart w:id="56" w:name="_Toc193448229"/>
      <w:bookmarkStart w:id="57" w:name="_Toc193448230"/>
      <w:bookmarkStart w:id="58" w:name="_Toc193448231"/>
      <w:bookmarkStart w:id="59" w:name="_Toc193448232"/>
      <w:bookmarkStart w:id="60" w:name="_Toc193448233"/>
      <w:bookmarkStart w:id="61" w:name="_Toc193448234"/>
      <w:bookmarkStart w:id="62" w:name="_Toc193448235"/>
      <w:bookmarkStart w:id="63" w:name="_Toc193448236"/>
      <w:bookmarkStart w:id="64" w:name="_Toc193448237"/>
      <w:bookmarkStart w:id="65" w:name="_Toc193448238"/>
      <w:bookmarkStart w:id="66" w:name="_Toc193448239"/>
      <w:bookmarkStart w:id="67" w:name="_Toc193448240"/>
      <w:bookmarkStart w:id="68" w:name="_Toc193448241"/>
      <w:bookmarkStart w:id="69" w:name="_Toc193448242"/>
      <w:bookmarkStart w:id="70" w:name="_Toc193448243"/>
      <w:bookmarkStart w:id="71" w:name="_Toc193448244"/>
      <w:bookmarkStart w:id="72" w:name="_Toc193448245"/>
      <w:bookmarkStart w:id="73" w:name="_Toc193448246"/>
      <w:bookmarkStart w:id="74" w:name="_Toc193448247"/>
      <w:bookmarkStart w:id="75" w:name="_Toc193448248"/>
      <w:bookmarkStart w:id="76" w:name="_Toc193448249"/>
      <w:bookmarkStart w:id="77" w:name="_Toc193448250"/>
      <w:bookmarkStart w:id="78" w:name="_Toc193448251"/>
      <w:bookmarkStart w:id="79" w:name="_Toc193448252"/>
      <w:bookmarkStart w:id="80" w:name="_Toc193448253"/>
      <w:bookmarkStart w:id="81" w:name="_Toc193448254"/>
      <w:bookmarkStart w:id="82" w:name="_Toc193448255"/>
      <w:bookmarkStart w:id="83" w:name="_Toc193448256"/>
      <w:bookmarkStart w:id="84" w:name="_Toc193448257"/>
      <w:bookmarkStart w:id="85" w:name="_Toc193448258"/>
      <w:bookmarkStart w:id="86" w:name="_Toc193448259"/>
      <w:bookmarkStart w:id="87" w:name="_Toc193448260"/>
      <w:bookmarkStart w:id="88" w:name="_Toc193448261"/>
      <w:bookmarkStart w:id="89" w:name="_Toc193448262"/>
      <w:bookmarkStart w:id="90" w:name="_Toc193448263"/>
      <w:bookmarkStart w:id="91" w:name="_Toc193448264"/>
      <w:bookmarkStart w:id="92" w:name="_Toc193448265"/>
      <w:bookmarkStart w:id="93" w:name="_Toc193448266"/>
      <w:bookmarkStart w:id="94" w:name="_Toc193448267"/>
      <w:bookmarkStart w:id="95" w:name="_Toc193448268"/>
      <w:bookmarkStart w:id="96" w:name="_Toc193448269"/>
      <w:bookmarkStart w:id="97" w:name="_Toc193448270"/>
      <w:bookmarkStart w:id="98" w:name="_Toc193448271"/>
      <w:bookmarkStart w:id="99" w:name="_Toc193448272"/>
      <w:bookmarkStart w:id="100" w:name="_Toc193448273"/>
      <w:bookmarkStart w:id="101" w:name="_Toc193448274"/>
      <w:bookmarkStart w:id="102" w:name="_Toc193448275"/>
      <w:bookmarkStart w:id="103" w:name="_Toc193448276"/>
      <w:bookmarkStart w:id="104" w:name="_Toc193448277"/>
      <w:bookmarkStart w:id="105" w:name="_Toc193448278"/>
      <w:bookmarkStart w:id="106" w:name="_Toc193448279"/>
      <w:bookmarkStart w:id="107" w:name="_Toc193448280"/>
      <w:bookmarkStart w:id="108" w:name="_Toc193448281"/>
      <w:bookmarkStart w:id="109" w:name="_Toc193448282"/>
      <w:bookmarkStart w:id="110" w:name="_Toc193448283"/>
      <w:bookmarkStart w:id="111" w:name="_Toc193448284"/>
      <w:bookmarkStart w:id="112" w:name="_Toc193448285"/>
      <w:bookmarkStart w:id="113" w:name="_Toc193448286"/>
      <w:bookmarkStart w:id="114" w:name="_Toc193448287"/>
      <w:bookmarkStart w:id="115" w:name="_Toc193448288"/>
      <w:bookmarkStart w:id="116" w:name="_Toc193448289"/>
      <w:bookmarkStart w:id="117" w:name="_Toc193448290"/>
      <w:bookmarkStart w:id="118" w:name="_Toc193448291"/>
      <w:bookmarkStart w:id="119" w:name="_Toc193448292"/>
      <w:bookmarkStart w:id="120" w:name="_Toc193448293"/>
      <w:bookmarkStart w:id="121" w:name="_Toc193448294"/>
      <w:bookmarkStart w:id="122" w:name="_Toc193448295"/>
      <w:bookmarkStart w:id="123" w:name="_Toc19344829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990423E" w14:textId="06693A4E" w:rsidR="00F53A8C" w:rsidRDefault="00602370" w:rsidP="0083352D">
      <w:pPr>
        <w:rPr>
          <w:rFonts w:ascii="Arial" w:hAnsi="Arial" w:cs="Arial"/>
        </w:rPr>
      </w:pPr>
      <w:r>
        <w:rPr>
          <w:rFonts w:ascii="Arial" w:hAnsi="Arial" w:cs="Arial"/>
        </w:rPr>
        <w:t xml:space="preserve">In the MAC spec, the MAC entity monitors BFIs. When the number of consecutively </w:t>
      </w:r>
      <w:proofErr w:type="gramStart"/>
      <w:r>
        <w:rPr>
          <w:rFonts w:ascii="Arial" w:hAnsi="Arial" w:cs="Arial"/>
        </w:rPr>
        <w:t>occurred</w:t>
      </w:r>
      <w:proofErr w:type="gramEnd"/>
      <w:r>
        <w:rPr>
          <w:rFonts w:ascii="Arial" w:hAnsi="Arial" w:cs="Arial"/>
        </w:rPr>
        <w:t xml:space="preserve"> BFIs reaches the maximum number, the UE triggers BFR.</w:t>
      </w:r>
      <w:r w:rsidR="00A8125D">
        <w:rPr>
          <w:rFonts w:ascii="Arial" w:hAnsi="Arial" w:cs="Arial"/>
        </w:rPr>
        <w:t xml:space="preserve"> There is no need for the MAC entity to trigger BFR for non SBFD symbols and SBFD symbols separately.</w:t>
      </w:r>
    </w:p>
    <w:p w14:paraId="7DA76C31" w14:textId="77777777" w:rsidR="002B6DEA" w:rsidRDefault="002B6DEA" w:rsidP="00190F32">
      <w:pPr>
        <w:pStyle w:val="Comments"/>
        <w:rPr>
          <w:i w:val="0"/>
          <w:iCs w:val="0"/>
          <w:lang w:eastAsia="zh-CN"/>
        </w:rPr>
      </w:pPr>
    </w:p>
    <w:p w14:paraId="55FA4C93" w14:textId="19B9D555" w:rsidR="002B6DEA" w:rsidRPr="001E7655" w:rsidRDefault="006C2629" w:rsidP="002B6DEA">
      <w:pPr>
        <w:pStyle w:val="Proposal"/>
        <w:tabs>
          <w:tab w:val="clear" w:pos="1304"/>
          <w:tab w:val="num" w:pos="8533"/>
        </w:tabs>
        <w:ind w:left="1701" w:hanging="1701"/>
      </w:pPr>
      <w:bookmarkStart w:id="124" w:name="_Toc173765697"/>
      <w:bookmarkStart w:id="125" w:name="_Toc197642212"/>
      <w:r>
        <w:lastRenderedPageBreak/>
        <w:t>Keep</w:t>
      </w:r>
      <w:r w:rsidR="00A8125D">
        <w:t xml:space="preserve"> the legacy</w:t>
      </w:r>
      <w:r w:rsidR="00F136A3">
        <w:t xml:space="preserve"> RLM,</w:t>
      </w:r>
      <w:r w:rsidR="00A8125D">
        <w:t xml:space="preserve"> BFD and BFR procedure in the MAC layer, i.e., </w:t>
      </w:r>
      <w:r w:rsidR="00A8125D">
        <w:rPr>
          <w:rFonts w:cs="Arial"/>
        </w:rPr>
        <w:t>no need for the MAC entity to trigger</w:t>
      </w:r>
      <w:r w:rsidR="00111A23">
        <w:rPr>
          <w:rFonts w:cs="Arial"/>
        </w:rPr>
        <w:t xml:space="preserve"> RLF,</w:t>
      </w:r>
      <w:r w:rsidR="00A8125D">
        <w:rPr>
          <w:rFonts w:cs="Arial"/>
        </w:rPr>
        <w:t xml:space="preserve"> BFD and BFR for non SBFD symbols and SBFD symbols separately</w:t>
      </w:r>
      <w:r w:rsidR="002B6DEA">
        <w:rPr>
          <w:rFonts w:cs="Arial"/>
          <w:lang w:val="en-US"/>
        </w:rPr>
        <w:t>.</w:t>
      </w:r>
      <w:bookmarkEnd w:id="124"/>
      <w:bookmarkEnd w:id="125"/>
    </w:p>
    <w:p w14:paraId="3E40D13E" w14:textId="71C112FB" w:rsidR="00D47521" w:rsidRDefault="00D47521" w:rsidP="00D47521">
      <w:pPr>
        <w:pStyle w:val="Heading2"/>
        <w:rPr>
          <w:rFonts w:cs="Arial"/>
        </w:rPr>
      </w:pPr>
      <w:r w:rsidRPr="003D4082">
        <w:rPr>
          <w:rFonts w:cs="Arial"/>
        </w:rPr>
        <w:t>2.</w:t>
      </w:r>
      <w:r>
        <w:rPr>
          <w:rFonts w:cs="Arial"/>
        </w:rPr>
        <w:t>2</w:t>
      </w:r>
      <w:r>
        <w:rPr>
          <w:rFonts w:cs="Arial"/>
        </w:rPr>
        <w:tab/>
      </w:r>
      <w:r>
        <w:rPr>
          <w:lang w:eastAsia="zh-CN"/>
        </w:rPr>
        <w:t xml:space="preserve">CSI-RS </w:t>
      </w:r>
      <w:r>
        <w:t xml:space="preserve">measurements for </w:t>
      </w:r>
      <w:r>
        <w:rPr>
          <w:rFonts w:cs="Arial"/>
        </w:rPr>
        <w:t>L3 mobility</w:t>
      </w:r>
    </w:p>
    <w:p w14:paraId="3F57CD47" w14:textId="43AEC41E" w:rsidR="00D47521" w:rsidRPr="001A1F07" w:rsidRDefault="001B7B00" w:rsidP="001A1F07">
      <w:pPr>
        <w:rPr>
          <w:rFonts w:ascii="Arial" w:hAnsi="Arial" w:cs="Arial"/>
        </w:rPr>
      </w:pPr>
      <w:r w:rsidRPr="001A1F07">
        <w:rPr>
          <w:rFonts w:ascii="Arial" w:hAnsi="Arial" w:cs="Arial"/>
        </w:rPr>
        <w:t>In RRC, L3 mobility related RRC IEs can be observed as the below</w:t>
      </w:r>
    </w:p>
    <w:p w14:paraId="5EED8208" w14:textId="2B1AE7DC" w:rsidR="00083410" w:rsidRDefault="006D0768" w:rsidP="00083410">
      <w:r w:rsidRPr="006D0768">
        <w:rPr>
          <w:noProof/>
        </w:rPr>
        <w:drawing>
          <wp:inline distT="0" distB="0" distL="0" distR="0" wp14:anchorId="423DB844" wp14:editId="1746B687">
            <wp:extent cx="5546785" cy="2549251"/>
            <wp:effectExtent l="0" t="0" r="0" b="0"/>
            <wp:docPr id="9" name="Content Placeholder 8">
              <a:extLst xmlns:a="http://schemas.openxmlformats.org/drawingml/2006/main">
                <a:ext uri="{FF2B5EF4-FFF2-40B4-BE49-F238E27FC236}">
                  <a16:creationId xmlns:a16="http://schemas.microsoft.com/office/drawing/2014/main" id="{1515DBAB-93D3-0216-5153-E90831D82CF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1515DBAB-93D3-0216-5153-E90831D82CF9}"/>
                        </a:ext>
                      </a:extLst>
                    </pic:cNvPr>
                    <pic:cNvPicPr>
                      <a:picLocks noGrp="1" noChangeAspect="1"/>
                    </pic:cNvPicPr>
                  </pic:nvPicPr>
                  <pic:blipFill>
                    <a:blip r:embed="rId11"/>
                    <a:stretch>
                      <a:fillRect/>
                    </a:stretch>
                  </pic:blipFill>
                  <pic:spPr>
                    <a:xfrm>
                      <a:off x="0" y="0"/>
                      <a:ext cx="5555313" cy="2553171"/>
                    </a:xfrm>
                    <a:prstGeom prst="rect">
                      <a:avLst/>
                    </a:prstGeom>
                  </pic:spPr>
                </pic:pic>
              </a:graphicData>
            </a:graphic>
          </wp:inline>
        </w:drawing>
      </w:r>
    </w:p>
    <w:p w14:paraId="3889E9D1" w14:textId="340F5D85" w:rsidR="006D0768" w:rsidRDefault="006D0768" w:rsidP="00083410">
      <w:r w:rsidRPr="006D0768">
        <w:rPr>
          <w:noProof/>
        </w:rPr>
        <w:drawing>
          <wp:inline distT="0" distB="0" distL="0" distR="0" wp14:anchorId="4C83846B" wp14:editId="7674C465">
            <wp:extent cx="6098876" cy="4029102"/>
            <wp:effectExtent l="0" t="0" r="0" b="0"/>
            <wp:docPr id="11" name="Picture 10">
              <a:extLst xmlns:a="http://schemas.openxmlformats.org/drawingml/2006/main">
                <a:ext uri="{FF2B5EF4-FFF2-40B4-BE49-F238E27FC236}">
                  <a16:creationId xmlns:a16="http://schemas.microsoft.com/office/drawing/2014/main" id="{59ACF42F-A9FE-C5C7-947B-1A1E2C2F57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9ACF42F-A9FE-C5C7-947B-1A1E2C2F574F}"/>
                        </a:ext>
                      </a:extLst>
                    </pic:cNvPr>
                    <pic:cNvPicPr>
                      <a:picLocks noChangeAspect="1"/>
                    </pic:cNvPicPr>
                  </pic:nvPicPr>
                  <pic:blipFill>
                    <a:blip r:embed="rId12"/>
                    <a:stretch>
                      <a:fillRect/>
                    </a:stretch>
                  </pic:blipFill>
                  <pic:spPr>
                    <a:xfrm>
                      <a:off x="0" y="0"/>
                      <a:ext cx="6118306" cy="4041938"/>
                    </a:xfrm>
                    <a:prstGeom prst="rect">
                      <a:avLst/>
                    </a:prstGeom>
                  </pic:spPr>
                </pic:pic>
              </a:graphicData>
            </a:graphic>
          </wp:inline>
        </w:drawing>
      </w:r>
    </w:p>
    <w:p w14:paraId="5359388A" w14:textId="1A0F0E73" w:rsidR="003914DA" w:rsidRPr="001A1F07" w:rsidRDefault="003914DA" w:rsidP="003914DA">
      <w:pPr>
        <w:rPr>
          <w:rFonts w:ascii="Arial" w:hAnsi="Arial" w:cs="Arial"/>
          <w:lang w:val="en-US"/>
        </w:rPr>
      </w:pPr>
      <w:r w:rsidRPr="001A1F07">
        <w:rPr>
          <w:rFonts w:ascii="Arial" w:hAnsi="Arial" w:cs="Arial"/>
          <w:lang w:val="en-US"/>
        </w:rPr>
        <w:t>It can be observed that</w:t>
      </w:r>
    </w:p>
    <w:p w14:paraId="238E81DB" w14:textId="56B0AFE8" w:rsidR="003914DA" w:rsidRPr="001A1F07" w:rsidRDefault="003914DA" w:rsidP="001A1F07">
      <w:pPr>
        <w:pStyle w:val="ListParagraph"/>
        <w:numPr>
          <w:ilvl w:val="0"/>
          <w:numId w:val="19"/>
        </w:numPr>
        <w:rPr>
          <w:rFonts w:ascii="Arial" w:hAnsi="Arial" w:cs="Arial"/>
          <w:sz w:val="20"/>
          <w:szCs w:val="20"/>
        </w:rPr>
      </w:pPr>
      <w:r w:rsidRPr="001A1F07">
        <w:rPr>
          <w:rFonts w:ascii="Arial" w:hAnsi="Arial" w:cs="Arial"/>
          <w:sz w:val="20"/>
          <w:szCs w:val="20"/>
          <w:lang w:val="en-US"/>
        </w:rPr>
        <w:t>Measurement results for each cell comprises both cell results and beam results</w:t>
      </w:r>
    </w:p>
    <w:p w14:paraId="2D188387" w14:textId="77777777" w:rsidR="003914DA" w:rsidRPr="001A1F07" w:rsidRDefault="003914DA" w:rsidP="001A1F07">
      <w:pPr>
        <w:pStyle w:val="ListParagraph"/>
        <w:numPr>
          <w:ilvl w:val="0"/>
          <w:numId w:val="19"/>
        </w:numPr>
        <w:rPr>
          <w:rFonts w:ascii="Arial" w:hAnsi="Arial" w:cs="Arial"/>
          <w:sz w:val="20"/>
          <w:szCs w:val="20"/>
        </w:rPr>
      </w:pPr>
      <w:r w:rsidRPr="001A1F07">
        <w:rPr>
          <w:rFonts w:ascii="Arial" w:hAnsi="Arial" w:cs="Arial"/>
          <w:sz w:val="20"/>
          <w:szCs w:val="20"/>
          <w:lang w:val="en-US"/>
        </w:rPr>
        <w:t>Cell results may base on the best beam or averaged among best beams which are above the threshold</w:t>
      </w:r>
    </w:p>
    <w:p w14:paraId="207AAB23" w14:textId="77777777" w:rsidR="003914DA" w:rsidRPr="001A1F07" w:rsidRDefault="003914DA" w:rsidP="001A1F07">
      <w:pPr>
        <w:pStyle w:val="ListParagraph"/>
        <w:numPr>
          <w:ilvl w:val="0"/>
          <w:numId w:val="19"/>
        </w:numPr>
        <w:rPr>
          <w:rFonts w:ascii="Arial" w:hAnsi="Arial" w:cs="Arial"/>
          <w:sz w:val="20"/>
          <w:szCs w:val="20"/>
        </w:rPr>
      </w:pPr>
      <w:r w:rsidRPr="001A1F07">
        <w:rPr>
          <w:rFonts w:ascii="Arial" w:hAnsi="Arial" w:cs="Arial"/>
          <w:sz w:val="20"/>
          <w:szCs w:val="20"/>
          <w:lang w:val="en-US"/>
        </w:rPr>
        <w:t>Measurement results may base on either SSB or CSI-RS.</w:t>
      </w:r>
    </w:p>
    <w:p w14:paraId="406EDB04" w14:textId="77777777" w:rsidR="006D0768" w:rsidRDefault="006D0768" w:rsidP="00083410"/>
    <w:p w14:paraId="1E349B9C" w14:textId="77777777" w:rsidR="00511B22" w:rsidRDefault="00511B22" w:rsidP="00511B22">
      <w:pPr>
        <w:rPr>
          <w:rFonts w:ascii="Arial" w:hAnsi="Arial" w:cs="Arial"/>
          <w:lang w:val="en-US"/>
        </w:rPr>
      </w:pPr>
      <w:r w:rsidRPr="001A1F07">
        <w:rPr>
          <w:rFonts w:ascii="Arial" w:hAnsi="Arial" w:cs="Arial"/>
          <w:lang w:val="en-US"/>
        </w:rPr>
        <w:lastRenderedPageBreak/>
        <w:t>If SSB is configured as the measurement RS, there is no impact on handover due to SBFD operation.</w:t>
      </w:r>
    </w:p>
    <w:p w14:paraId="26C297FB" w14:textId="165F2DCD" w:rsidR="00511B22" w:rsidRPr="006467B6" w:rsidRDefault="00511B22" w:rsidP="00511B22">
      <w:pPr>
        <w:pStyle w:val="Observation"/>
        <w:tabs>
          <w:tab w:val="num" w:pos="3554"/>
        </w:tabs>
        <w:spacing w:before="240"/>
        <w:ind w:left="360" w:hanging="360"/>
      </w:pPr>
      <w:bookmarkStart w:id="126" w:name="_Toc197642210"/>
      <w:r w:rsidRPr="00EE2C2A">
        <w:rPr>
          <w:rFonts w:cs="Arial"/>
          <w:lang w:val="en-US"/>
        </w:rPr>
        <w:t>If SSB is configured as the measurement RS, there is no impact on handover due to SBFD operation</w:t>
      </w:r>
      <w:r>
        <w:rPr>
          <w:rFonts w:cs="Arial"/>
          <w:lang w:eastAsia="zh-CN"/>
        </w:rPr>
        <w:t>.</w:t>
      </w:r>
      <w:bookmarkEnd w:id="126"/>
    </w:p>
    <w:p w14:paraId="63426E03" w14:textId="4A0DDD88" w:rsidR="00511B22" w:rsidRPr="001A1F07" w:rsidRDefault="009E42AB" w:rsidP="00511B22">
      <w:pPr>
        <w:rPr>
          <w:rFonts w:ascii="Arial" w:hAnsi="Arial" w:cs="Arial"/>
        </w:rPr>
      </w:pPr>
      <w:r w:rsidRPr="009E42AB">
        <w:rPr>
          <w:rFonts w:ascii="Arial" w:hAnsi="Arial" w:cs="Arial"/>
        </w:rPr>
        <w:t>Regarding CSI-RS based L3 mobility, t</w:t>
      </w:r>
      <w:r w:rsidR="00511B22" w:rsidRPr="001A1F07">
        <w:rPr>
          <w:rFonts w:ascii="Arial" w:hAnsi="Arial" w:cs="Arial"/>
          <w:lang w:val="en-US"/>
        </w:rPr>
        <w:t>wo possible options for the way forward</w:t>
      </w:r>
      <w:r w:rsidR="008002F6">
        <w:rPr>
          <w:rFonts w:ascii="Arial" w:hAnsi="Arial" w:cs="Arial"/>
          <w:lang w:val="en-US"/>
        </w:rPr>
        <w:t>:</w:t>
      </w:r>
    </w:p>
    <w:p w14:paraId="068347BA" w14:textId="5AFB9854" w:rsidR="00511B22" w:rsidRDefault="00511B22" w:rsidP="00511B22">
      <w:pPr>
        <w:rPr>
          <w:rFonts w:ascii="Arial" w:hAnsi="Arial" w:cs="Arial"/>
          <w:lang w:val="en-US"/>
        </w:rPr>
      </w:pPr>
      <w:r w:rsidRPr="001A1F07">
        <w:rPr>
          <w:rFonts w:ascii="Arial" w:hAnsi="Arial" w:cs="Arial"/>
          <w:b/>
          <w:bCs/>
          <w:lang w:val="en-US"/>
        </w:rPr>
        <w:t>Option 1</w:t>
      </w:r>
      <w:r w:rsidRPr="001A1F07">
        <w:rPr>
          <w:rFonts w:ascii="Arial" w:hAnsi="Arial" w:cs="Arial"/>
          <w:lang w:val="en-US"/>
        </w:rPr>
        <w:t xml:space="preserve"> – the UE is provided with the SBFD configuration of neighbor cells. </w:t>
      </w:r>
      <w:r w:rsidR="00367E3B">
        <w:rPr>
          <w:rFonts w:ascii="Arial" w:hAnsi="Arial" w:cs="Arial"/>
          <w:lang w:val="en-US"/>
        </w:rPr>
        <w:t xml:space="preserve">The UE may provide </w:t>
      </w:r>
      <w:r w:rsidR="005121FE">
        <w:rPr>
          <w:rFonts w:ascii="Arial" w:hAnsi="Arial" w:cs="Arial"/>
          <w:lang w:val="en-US"/>
        </w:rPr>
        <w:t>cell measurement results and beam measurement results for SBFD symbols and non SBFD symbols separately.</w:t>
      </w:r>
    </w:p>
    <w:p w14:paraId="027A48BF" w14:textId="5E3AF159" w:rsidR="00511B22" w:rsidRPr="001A1F07" w:rsidRDefault="007E2986" w:rsidP="0098329D">
      <w:pPr>
        <w:rPr>
          <w:rFonts w:ascii="Arial" w:hAnsi="Arial" w:cs="Arial"/>
        </w:rPr>
      </w:pPr>
      <w:r>
        <w:rPr>
          <w:rFonts w:ascii="Arial" w:hAnsi="Arial" w:cs="Arial"/>
          <w:lang w:val="en-US"/>
        </w:rPr>
        <w:t xml:space="preserve">The potential spec impact for Option 1 would </w:t>
      </w:r>
      <w:r w:rsidR="00A124AA">
        <w:rPr>
          <w:rFonts w:ascii="Arial" w:hAnsi="Arial" w:cs="Arial"/>
          <w:lang w:val="en-US"/>
        </w:rPr>
        <w:t>require cross-work</w:t>
      </w:r>
      <w:r w:rsidR="008002F6">
        <w:rPr>
          <w:rFonts w:ascii="Arial" w:hAnsi="Arial" w:cs="Arial"/>
          <w:lang w:val="en-US"/>
        </w:rPr>
        <w:t>ing</w:t>
      </w:r>
      <w:r w:rsidR="00A124AA">
        <w:rPr>
          <w:rFonts w:ascii="Arial" w:hAnsi="Arial" w:cs="Arial"/>
          <w:lang w:val="en-US"/>
        </w:rPr>
        <w:t xml:space="preserve"> group impacts (impacts to RAN1, RAN2 and RAN4). </w:t>
      </w:r>
      <w:r w:rsidR="00511B22" w:rsidRPr="001A1F07">
        <w:rPr>
          <w:rFonts w:ascii="Arial" w:hAnsi="Arial" w:cs="Arial"/>
          <w:lang w:val="en-US"/>
        </w:rPr>
        <w:t>Serving cell/gNB needs to signal SBFD T/F configuration of each neighbor cell to UEs via dedicated RRC signaling</w:t>
      </w:r>
      <w:r w:rsidR="0098329D">
        <w:rPr>
          <w:rFonts w:ascii="Arial" w:hAnsi="Arial" w:cs="Arial"/>
          <w:lang w:val="en-US"/>
        </w:rPr>
        <w:t xml:space="preserve">. </w:t>
      </w:r>
      <w:r w:rsidR="00511B22" w:rsidRPr="001A1F07">
        <w:rPr>
          <w:rFonts w:ascii="Arial" w:hAnsi="Arial" w:cs="Arial"/>
          <w:lang w:val="en-US"/>
        </w:rPr>
        <w:t>The UE measures each neighbor cell considering its SBFD T/F configuration</w:t>
      </w:r>
      <w:r w:rsidR="0098329D">
        <w:rPr>
          <w:rFonts w:ascii="Arial" w:hAnsi="Arial" w:cs="Arial"/>
          <w:lang w:val="en-US"/>
        </w:rPr>
        <w:t>.</w:t>
      </w:r>
    </w:p>
    <w:p w14:paraId="076C53D9" w14:textId="77777777" w:rsidR="007E2986" w:rsidRPr="001A1F07" w:rsidRDefault="007E2986" w:rsidP="001A1F07">
      <w:pPr>
        <w:pStyle w:val="ListParagraph"/>
        <w:rPr>
          <w:rFonts w:ascii="Arial" w:hAnsi="Arial" w:cs="Arial"/>
        </w:rPr>
      </w:pPr>
    </w:p>
    <w:p w14:paraId="0E646C7F" w14:textId="14880A5A" w:rsidR="00511B22" w:rsidRPr="001A1F07" w:rsidRDefault="00511B22" w:rsidP="00511B22">
      <w:pPr>
        <w:rPr>
          <w:rFonts w:ascii="Arial" w:hAnsi="Arial" w:cs="Arial"/>
        </w:rPr>
      </w:pPr>
      <w:r w:rsidRPr="001A1F07">
        <w:rPr>
          <w:rFonts w:ascii="Arial" w:hAnsi="Arial" w:cs="Arial"/>
          <w:b/>
          <w:bCs/>
          <w:lang w:val="en-US"/>
        </w:rPr>
        <w:t>Option 2</w:t>
      </w:r>
      <w:r w:rsidRPr="001A1F07">
        <w:rPr>
          <w:rFonts w:ascii="Arial" w:hAnsi="Arial" w:cs="Arial"/>
          <w:lang w:val="en-US"/>
        </w:rPr>
        <w:t xml:space="preserve"> – the UE is not aware of the SBFD T/F configuration of neighbor cells</w:t>
      </w:r>
      <w:r w:rsidR="0098329D">
        <w:rPr>
          <w:rFonts w:ascii="Arial" w:hAnsi="Arial" w:cs="Arial"/>
          <w:lang w:val="en-US"/>
        </w:rPr>
        <w:t>.</w:t>
      </w:r>
    </w:p>
    <w:p w14:paraId="3DA2EE3F" w14:textId="1C38F739" w:rsidR="00511B22" w:rsidRDefault="00511B22" w:rsidP="00511B22">
      <w:pPr>
        <w:rPr>
          <w:rFonts w:ascii="Arial" w:hAnsi="Arial" w:cs="Arial"/>
          <w:lang w:val="en-US"/>
        </w:rPr>
      </w:pPr>
      <w:r w:rsidRPr="001A1F07">
        <w:rPr>
          <w:rFonts w:ascii="Arial" w:hAnsi="Arial" w:cs="Arial"/>
          <w:lang w:val="en-US"/>
        </w:rPr>
        <w:t xml:space="preserve">The UE measures each neighbor cell without knowing SBFD T/F configuration of neighbor cells, i.e., as if the cell is not configured with SBFD. </w:t>
      </w:r>
    </w:p>
    <w:p w14:paraId="5EC10BE8" w14:textId="5D4DFC14" w:rsidR="0098329D" w:rsidRDefault="0098329D" w:rsidP="00511B22">
      <w:pPr>
        <w:rPr>
          <w:rFonts w:ascii="Arial" w:hAnsi="Arial" w:cs="Arial"/>
          <w:lang w:val="en-US"/>
        </w:rPr>
      </w:pPr>
      <w:r>
        <w:rPr>
          <w:rFonts w:ascii="Arial" w:hAnsi="Arial" w:cs="Arial"/>
          <w:lang w:val="en-US"/>
        </w:rPr>
        <w:t xml:space="preserve">In this case, the </w:t>
      </w:r>
      <w:r w:rsidR="00113284">
        <w:rPr>
          <w:rFonts w:ascii="Arial" w:hAnsi="Arial" w:cs="Arial"/>
          <w:lang w:val="en-US"/>
        </w:rPr>
        <w:t xml:space="preserve">SBFD aware UE would behave as if the UE </w:t>
      </w:r>
      <w:r w:rsidR="00AC19B3">
        <w:rPr>
          <w:rFonts w:ascii="Arial" w:hAnsi="Arial" w:cs="Arial"/>
          <w:lang w:val="en-US"/>
        </w:rPr>
        <w:t>were</w:t>
      </w:r>
      <w:r w:rsidR="00113284">
        <w:rPr>
          <w:rFonts w:ascii="Arial" w:hAnsi="Arial" w:cs="Arial"/>
          <w:lang w:val="en-US"/>
        </w:rPr>
        <w:t xml:space="preserve"> a legacy UE. </w:t>
      </w:r>
    </w:p>
    <w:p w14:paraId="4D4D04DA" w14:textId="54EF2AAD" w:rsidR="00AC19B3" w:rsidRPr="001A1F07" w:rsidRDefault="00AC19B3" w:rsidP="00511B22">
      <w:pPr>
        <w:rPr>
          <w:rFonts w:ascii="Arial" w:hAnsi="Arial" w:cs="Arial"/>
        </w:rPr>
      </w:pPr>
      <w:r>
        <w:rPr>
          <w:rFonts w:ascii="Arial" w:hAnsi="Arial" w:cs="Arial"/>
          <w:lang w:val="en-US"/>
        </w:rPr>
        <w:t>Comparing the two options, we think option 2 is sufficient, given there is no TU left for other work</w:t>
      </w:r>
      <w:r w:rsidR="003836DB">
        <w:rPr>
          <w:rFonts w:ascii="Arial" w:hAnsi="Arial" w:cs="Arial"/>
          <w:lang w:val="en-US"/>
        </w:rPr>
        <w:t>ing</w:t>
      </w:r>
      <w:r>
        <w:rPr>
          <w:rFonts w:ascii="Arial" w:hAnsi="Arial" w:cs="Arial"/>
          <w:lang w:val="en-US"/>
        </w:rPr>
        <w:t xml:space="preserve"> groups to handle this issue</w:t>
      </w:r>
      <w:r w:rsidR="00FF3406">
        <w:rPr>
          <w:rFonts w:ascii="Arial" w:hAnsi="Arial" w:cs="Arial"/>
          <w:lang w:val="en-US"/>
        </w:rPr>
        <w:t xml:space="preserve"> if </w:t>
      </w:r>
      <w:r w:rsidR="003836DB">
        <w:rPr>
          <w:rFonts w:ascii="Arial" w:hAnsi="Arial" w:cs="Arial"/>
          <w:lang w:val="en-US"/>
        </w:rPr>
        <w:t>RAN2 would</w:t>
      </w:r>
      <w:r w:rsidR="00FF3406">
        <w:rPr>
          <w:rFonts w:ascii="Arial" w:hAnsi="Arial" w:cs="Arial"/>
          <w:lang w:val="en-US"/>
        </w:rPr>
        <w:t xml:space="preserve"> go for Option 1.</w:t>
      </w:r>
    </w:p>
    <w:p w14:paraId="3A603401" w14:textId="7B4C7110" w:rsidR="00AC19B3" w:rsidRPr="001E7655" w:rsidRDefault="00270813" w:rsidP="00AC19B3">
      <w:pPr>
        <w:pStyle w:val="Proposal"/>
        <w:tabs>
          <w:tab w:val="clear" w:pos="1304"/>
          <w:tab w:val="num" w:pos="8533"/>
        </w:tabs>
        <w:ind w:left="1701" w:hanging="1701"/>
      </w:pPr>
      <w:bookmarkStart w:id="127" w:name="_Toc197642213"/>
      <w:r>
        <w:t>E</w:t>
      </w:r>
      <w:r w:rsidR="00FF3406">
        <w:t xml:space="preserve">nhancement for L3 mobility CSI-RS measurement </w:t>
      </w:r>
      <w:r w:rsidR="002539D4">
        <w:t>is</w:t>
      </w:r>
      <w:r w:rsidR="00FF3406">
        <w:t xml:space="preserve"> </w:t>
      </w:r>
      <w:r>
        <w:t xml:space="preserve">not </w:t>
      </w:r>
      <w:r w:rsidR="00FF3406">
        <w:t>pursued</w:t>
      </w:r>
      <w:r w:rsidR="00AC19B3">
        <w:rPr>
          <w:rFonts w:cs="Arial"/>
          <w:lang w:val="en-US"/>
        </w:rPr>
        <w:t>.</w:t>
      </w:r>
      <w:bookmarkEnd w:id="127"/>
    </w:p>
    <w:p w14:paraId="7570C759" w14:textId="12B083B1" w:rsidR="006E1C82" w:rsidRPr="00075897" w:rsidRDefault="00350AF6" w:rsidP="00075897">
      <w:pPr>
        <w:pStyle w:val="Heading1"/>
      </w:pPr>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w:t>
      </w:r>
      <w:r w:rsidRPr="00E96BDA">
        <w:t>propose</w:t>
      </w:r>
      <w:r w:rsidRPr="00CE0424">
        <w:t xml:space="preserve"> the following:</w:t>
      </w:r>
    </w:p>
    <w:p w14:paraId="5E4FF5B6" w14:textId="16BE3F07" w:rsidR="008002F6"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97642207" w:history="1">
        <w:r w:rsidR="008002F6" w:rsidRPr="005B777A">
          <w:rPr>
            <w:rStyle w:val="Hyperlink"/>
            <w:noProof/>
          </w:rPr>
          <w:t>Observation 1</w:t>
        </w:r>
        <w:r w:rsidR="008002F6">
          <w:rPr>
            <w:rFonts w:asciiTheme="minorHAnsi" w:eastAsiaTheme="minorEastAsia" w:hAnsiTheme="minorHAnsi" w:cstheme="minorBidi"/>
            <w:b w:val="0"/>
            <w:noProof/>
            <w:kern w:val="2"/>
            <w:sz w:val="24"/>
            <w:szCs w:val="24"/>
            <w:lang w:val="en-SE" w:eastAsia="en-SE"/>
            <w14:ligatures w14:val="standardContextual"/>
          </w:rPr>
          <w:tab/>
        </w:r>
        <w:r w:rsidR="008002F6" w:rsidRPr="005B777A">
          <w:rPr>
            <w:rStyle w:val="Hyperlink"/>
            <w:noProof/>
          </w:rPr>
          <w:t xml:space="preserve">Configuration 1 and Configuration 2 on UL transmissions and DL reception </w:t>
        </w:r>
        <w:r w:rsidR="008002F6" w:rsidRPr="005B777A">
          <w:rPr>
            <w:rStyle w:val="Hyperlink"/>
            <w:rFonts w:cs="Times"/>
            <w:noProof/>
          </w:rPr>
          <w:t xml:space="preserve">across SBFD symbols and non-SBFD symbols in different slots </w:t>
        </w:r>
        <w:r w:rsidR="008002F6" w:rsidRPr="005B777A">
          <w:rPr>
            <w:rStyle w:val="Hyperlink"/>
            <w:noProof/>
          </w:rPr>
          <w:t>are not applicable to CSI-RS resources configuration and CSI-RS based RLM/BFD/CBD measurement</w:t>
        </w:r>
        <w:r w:rsidR="008002F6" w:rsidRPr="005B777A">
          <w:rPr>
            <w:rStyle w:val="Hyperlink"/>
            <w:rFonts w:cs="Arial"/>
            <w:noProof/>
          </w:rPr>
          <w:t>.</w:t>
        </w:r>
      </w:hyperlink>
    </w:p>
    <w:p w14:paraId="3C923B08" w14:textId="4CCD4D33" w:rsidR="008002F6" w:rsidRDefault="008002F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2208" w:history="1">
        <w:r w:rsidRPr="005B777A">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5B777A">
          <w:rPr>
            <w:rStyle w:val="Hyperlink"/>
            <w:noProof/>
          </w:rPr>
          <w:t xml:space="preserve">UE can provide separate CSI reports to the gNB according to the configured valid symbol type in the corresponding </w:t>
        </w:r>
        <w:r w:rsidRPr="005B777A">
          <w:rPr>
            <w:rStyle w:val="Hyperlink"/>
            <w:i/>
            <w:noProof/>
          </w:rPr>
          <w:t>CSI-ReportConfig</w:t>
        </w:r>
        <w:r w:rsidRPr="005B777A">
          <w:rPr>
            <w:rStyle w:val="Hyperlink"/>
            <w:rFonts w:cs="Arial"/>
            <w:noProof/>
          </w:rPr>
          <w:t>.</w:t>
        </w:r>
      </w:hyperlink>
    </w:p>
    <w:p w14:paraId="50EF7BAB" w14:textId="50256D7B" w:rsidR="008002F6" w:rsidRDefault="008002F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2209" w:history="1">
        <w:r w:rsidRPr="005B777A">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5B777A">
          <w:rPr>
            <w:rStyle w:val="Hyperlink"/>
            <w:noProof/>
          </w:rPr>
          <w:t xml:space="preserve">RAN1 doesn’t indicate whether the valid symbol type can be included in </w:t>
        </w:r>
        <w:r w:rsidRPr="005B777A">
          <w:rPr>
            <w:rStyle w:val="Hyperlink"/>
            <w:i/>
            <w:noProof/>
          </w:rPr>
          <w:t xml:space="preserve">RadioLinkMonitoringConfig </w:t>
        </w:r>
        <w:r w:rsidRPr="005B777A">
          <w:rPr>
            <w:rStyle w:val="Hyperlink"/>
            <w:iCs/>
            <w:noProof/>
          </w:rPr>
          <w:t>and</w:t>
        </w:r>
        <w:r w:rsidRPr="005B777A">
          <w:rPr>
            <w:rStyle w:val="Hyperlink"/>
            <w:i/>
            <w:noProof/>
          </w:rPr>
          <w:t xml:space="preserve"> </w:t>
        </w:r>
        <w:r w:rsidRPr="005B777A">
          <w:rPr>
            <w:rStyle w:val="Hyperlink"/>
            <w:rFonts w:cs="Arial"/>
            <w:i/>
            <w:noProof/>
          </w:rPr>
          <w:t>BeamFailureRecoveryConfig</w:t>
        </w:r>
        <w:r w:rsidRPr="005B777A">
          <w:rPr>
            <w:rStyle w:val="Hyperlink"/>
            <w:rFonts w:cs="Arial"/>
            <w:noProof/>
          </w:rPr>
          <w:t>.</w:t>
        </w:r>
      </w:hyperlink>
    </w:p>
    <w:p w14:paraId="0E684031" w14:textId="7D9091C3" w:rsidR="008002F6" w:rsidRDefault="008002F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2210" w:history="1">
        <w:r w:rsidRPr="005B777A">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5B777A">
          <w:rPr>
            <w:rStyle w:val="Hyperlink"/>
            <w:rFonts w:cs="Arial"/>
            <w:noProof/>
            <w:lang w:val="en-US"/>
          </w:rPr>
          <w:t>If SSB is configured as the measurement RS, there is no impact on handover due to SBFD operation</w:t>
        </w:r>
        <w:r w:rsidRPr="005B777A">
          <w:rPr>
            <w:rStyle w:val="Hyperlink"/>
            <w:rFonts w:cs="Arial"/>
            <w:noProof/>
          </w:rPr>
          <w:t>.</w:t>
        </w:r>
      </w:hyperlink>
    </w:p>
    <w:p w14:paraId="7526D116" w14:textId="50734EF3"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75541935" w14:textId="77777777" w:rsidR="008002F6"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642211" w:history="1">
        <w:r w:rsidR="008002F6" w:rsidRPr="007A3872">
          <w:rPr>
            <w:rStyle w:val="Hyperlink"/>
            <w:noProof/>
          </w:rPr>
          <w:t>Proposal 1</w:t>
        </w:r>
        <w:r w:rsidR="008002F6">
          <w:rPr>
            <w:rFonts w:asciiTheme="minorHAnsi" w:eastAsiaTheme="minorEastAsia" w:hAnsiTheme="minorHAnsi" w:cstheme="minorBidi"/>
            <w:b w:val="0"/>
            <w:noProof/>
            <w:kern w:val="2"/>
            <w:sz w:val="24"/>
            <w:szCs w:val="24"/>
            <w:lang w:val="en-SE" w:eastAsia="en-SE"/>
            <w14:ligatures w14:val="standardContextual"/>
          </w:rPr>
          <w:tab/>
        </w:r>
        <w:r w:rsidR="008002F6" w:rsidRPr="007A3872">
          <w:rPr>
            <w:rStyle w:val="Hyperlink"/>
            <w:rFonts w:cs="Arial"/>
            <w:iCs/>
            <w:noProof/>
          </w:rPr>
          <w:t xml:space="preserve">No enhancement is needed for CSI-RS based </w:t>
        </w:r>
        <w:r w:rsidR="008002F6" w:rsidRPr="007A3872">
          <w:rPr>
            <w:rStyle w:val="Hyperlink"/>
            <w:rFonts w:cs="Arial"/>
            <w:noProof/>
          </w:rPr>
          <w:t>RLM/BFD/CBD measurements.</w:t>
        </w:r>
      </w:hyperlink>
    </w:p>
    <w:p w14:paraId="3657F872" w14:textId="77777777" w:rsidR="008002F6" w:rsidRDefault="008002F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2212" w:history="1">
        <w:r w:rsidRPr="007A3872">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7A3872">
          <w:rPr>
            <w:rStyle w:val="Hyperlink"/>
            <w:noProof/>
          </w:rPr>
          <w:t xml:space="preserve">Keep the legacy RLM, BFD and BFR procedure in the MAC layer, i.e., </w:t>
        </w:r>
        <w:r w:rsidRPr="007A3872">
          <w:rPr>
            <w:rStyle w:val="Hyperlink"/>
            <w:rFonts w:cs="Arial"/>
            <w:noProof/>
          </w:rPr>
          <w:t>no need for the MAC entity to trigger RLF, BFD and BFR for non SBFD symbols and SBFD symbols separately</w:t>
        </w:r>
        <w:r w:rsidRPr="007A3872">
          <w:rPr>
            <w:rStyle w:val="Hyperlink"/>
            <w:rFonts w:cs="Arial"/>
            <w:noProof/>
            <w:lang w:val="en-US"/>
          </w:rPr>
          <w:t>.</w:t>
        </w:r>
      </w:hyperlink>
    </w:p>
    <w:p w14:paraId="67E3005C" w14:textId="77777777" w:rsidR="008002F6" w:rsidRDefault="008002F6">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42213" w:history="1">
        <w:r w:rsidRPr="007A3872">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7A3872">
          <w:rPr>
            <w:rStyle w:val="Hyperlink"/>
            <w:noProof/>
          </w:rPr>
          <w:t>Enhancement for L3 mobility CSI-RS measurement is not pursued</w:t>
        </w:r>
        <w:r w:rsidRPr="007A3872">
          <w:rPr>
            <w:rStyle w:val="Hyperlink"/>
            <w:rFonts w:cs="Arial"/>
            <w:noProof/>
            <w:lang w:val="en-US"/>
          </w:rPr>
          <w:t>.</w:t>
        </w:r>
      </w:hyperlink>
    </w:p>
    <w:p w14:paraId="7AF5CFE2" w14:textId="0A91A630"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08014503" w14:textId="14850E72" w:rsidR="009177E4" w:rsidRPr="00291D14" w:rsidRDefault="00FB5887" w:rsidP="00554E4E">
      <w:pPr>
        <w:pStyle w:val="Reference"/>
        <w:numPr>
          <w:ilvl w:val="0"/>
          <w:numId w:val="0"/>
        </w:numPr>
        <w:rPr>
          <w:rFonts w:cs="Arial"/>
        </w:rPr>
      </w:pPr>
      <w:r w:rsidRPr="00291D14">
        <w:rPr>
          <w:rFonts w:cs="Arial"/>
        </w:rPr>
        <w:t xml:space="preserve">[1] RP-241614, </w:t>
      </w:r>
      <w:r w:rsidRPr="00291D14">
        <w:rPr>
          <w:rFonts w:eastAsia="Batang" w:cs="Arial"/>
        </w:rPr>
        <w:t xml:space="preserve">Revised WID: Evolution of NR duplex operation: Sub-band full duplex (SBFD), Huawei, </w:t>
      </w:r>
      <w:r w:rsidRPr="00291D14">
        <w:rPr>
          <w:rFonts w:cs="Arial"/>
        </w:rPr>
        <w:t>Shanghai, China, June 17-20, 2024, RAN#104.</w:t>
      </w:r>
    </w:p>
    <w:p w14:paraId="799AE829" w14:textId="572C697E" w:rsidR="00037C2D" w:rsidRPr="00291D14" w:rsidRDefault="00037C2D" w:rsidP="00037C2D">
      <w:pPr>
        <w:tabs>
          <w:tab w:val="center" w:pos="4536"/>
          <w:tab w:val="right" w:pos="9072"/>
        </w:tabs>
        <w:rPr>
          <w:rFonts w:ascii="Arial" w:eastAsia="MS Mincho" w:hAnsi="Arial" w:cs="Arial"/>
        </w:rPr>
      </w:pPr>
      <w:r w:rsidRPr="00BD749D">
        <w:rPr>
          <w:rFonts w:ascii="Arial" w:hAnsi="Arial" w:cs="Arial"/>
        </w:rPr>
        <w:t xml:space="preserve">[2] R1-2501560, </w:t>
      </w:r>
      <w:r w:rsidRPr="00291D14">
        <w:rPr>
          <w:rFonts w:ascii="Arial" w:hAnsi="Arial" w:cs="Arial"/>
        </w:rPr>
        <w:t>Reply LS on CSI-RS measurement with SBFD operation</w:t>
      </w:r>
      <w:r w:rsidRPr="00BD749D">
        <w:rPr>
          <w:rFonts w:ascii="Arial" w:hAnsi="Arial" w:cs="Arial"/>
        </w:rPr>
        <w:t xml:space="preserve">, MediaTek, </w:t>
      </w:r>
      <w:r w:rsidRPr="00291D14">
        <w:rPr>
          <w:rFonts w:ascii="Arial" w:eastAsia="MS Mincho" w:hAnsi="Arial" w:cs="Arial"/>
        </w:rPr>
        <w:t>Athens, Greece, February 17</w:t>
      </w:r>
      <w:r w:rsidRPr="00291D14">
        <w:rPr>
          <w:rFonts w:ascii="Arial" w:eastAsia="MS Mincho" w:hAnsi="Arial" w:cs="Arial"/>
          <w:vertAlign w:val="superscript"/>
        </w:rPr>
        <w:t>th</w:t>
      </w:r>
      <w:r w:rsidRPr="00291D14">
        <w:rPr>
          <w:rFonts w:ascii="Arial" w:eastAsia="MS Mincho" w:hAnsi="Arial" w:cs="Arial"/>
        </w:rPr>
        <w:t xml:space="preserve"> </w:t>
      </w:r>
      <w:r w:rsidRPr="00291D14">
        <w:rPr>
          <w:rFonts w:ascii="Arial" w:hAnsi="Arial" w:cs="Arial"/>
        </w:rPr>
        <w:t>– 21</w:t>
      </w:r>
      <w:r w:rsidRPr="00291D14">
        <w:rPr>
          <w:rFonts w:ascii="Arial" w:hAnsi="Arial" w:cs="Arial"/>
          <w:vertAlign w:val="superscript"/>
        </w:rPr>
        <w:t>st</w:t>
      </w:r>
      <w:r w:rsidRPr="00291D14">
        <w:rPr>
          <w:rFonts w:ascii="Arial" w:eastAsia="MS Mincho" w:hAnsi="Arial" w:cs="Arial"/>
        </w:rPr>
        <w:t>, 2025, RAN1#120.</w:t>
      </w:r>
    </w:p>
    <w:p w14:paraId="17C0E7B4" w14:textId="46C97676" w:rsidR="00037C2D" w:rsidRDefault="00037C2D" w:rsidP="00554E4E">
      <w:pPr>
        <w:pStyle w:val="Reference"/>
        <w:numPr>
          <w:ilvl w:val="0"/>
          <w:numId w:val="0"/>
        </w:numPr>
      </w:pPr>
    </w:p>
    <w:p w14:paraId="57A70E79" w14:textId="77777777" w:rsidR="009177E4" w:rsidRPr="00212619" w:rsidRDefault="009177E4" w:rsidP="00494BEE"/>
    <w:sectPr w:rsidR="009177E4" w:rsidRPr="00212619" w:rsidSect="009B2F40">
      <w:headerReference w:type="even" r:id="rId13"/>
      <w:footerReference w:type="default" r:id="rId14"/>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3C55" w14:textId="77777777" w:rsidR="00150C12" w:rsidRDefault="00150C12">
      <w:r>
        <w:separator/>
      </w:r>
    </w:p>
  </w:endnote>
  <w:endnote w:type="continuationSeparator" w:id="0">
    <w:p w14:paraId="108CFB6A" w14:textId="77777777" w:rsidR="00150C12" w:rsidRDefault="00150C12">
      <w:r>
        <w:continuationSeparator/>
      </w:r>
    </w:p>
  </w:endnote>
  <w:endnote w:type="continuationNotice" w:id="1">
    <w:p w14:paraId="0E0E6E10"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7DD5" w14:textId="77777777" w:rsidR="00150C12" w:rsidRDefault="00150C12">
      <w:r>
        <w:separator/>
      </w:r>
    </w:p>
  </w:footnote>
  <w:footnote w:type="continuationSeparator" w:id="0">
    <w:p w14:paraId="154598A7" w14:textId="77777777" w:rsidR="00150C12" w:rsidRDefault="00150C12">
      <w:r>
        <w:continuationSeparator/>
      </w:r>
    </w:p>
  </w:footnote>
  <w:footnote w:type="continuationNotice" w:id="1">
    <w:p w14:paraId="0FE8B3FA"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1554A22"/>
    <w:multiLevelType w:val="hybridMultilevel"/>
    <w:tmpl w:val="5E9AD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FC51F7D"/>
    <w:multiLevelType w:val="hybridMultilevel"/>
    <w:tmpl w:val="8ED618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1"/>
  </w:num>
  <w:num w:numId="2" w16cid:durableId="1582178288">
    <w:abstractNumId w:val="8"/>
  </w:num>
  <w:num w:numId="3" w16cid:durableId="227618351">
    <w:abstractNumId w:val="0"/>
  </w:num>
  <w:num w:numId="4" w16cid:durableId="1005740707">
    <w:abstractNumId w:val="13"/>
  </w:num>
  <w:num w:numId="5" w16cid:durableId="1706563250">
    <w:abstractNumId w:val="14"/>
  </w:num>
  <w:num w:numId="6" w16cid:durableId="1834904605">
    <w:abstractNumId w:val="15"/>
  </w:num>
  <w:num w:numId="7" w16cid:durableId="496388474">
    <w:abstractNumId w:val="3"/>
  </w:num>
  <w:num w:numId="8" w16cid:durableId="676927514">
    <w:abstractNumId w:val="4"/>
  </w:num>
  <w:num w:numId="9" w16cid:durableId="1265191735">
    <w:abstractNumId w:val="2"/>
  </w:num>
  <w:num w:numId="10" w16cid:durableId="2126347897">
    <w:abstractNumId w:val="19"/>
  </w:num>
  <w:num w:numId="11" w16cid:durableId="221908905">
    <w:abstractNumId w:val="7"/>
  </w:num>
  <w:num w:numId="12" w16cid:durableId="1384676819">
    <w:abstractNumId w:val="16"/>
  </w:num>
  <w:num w:numId="13" w16cid:durableId="2086174704">
    <w:abstractNumId w:val="18"/>
  </w:num>
  <w:num w:numId="14" w16cid:durableId="975915373">
    <w:abstractNumId w:val="10"/>
  </w:num>
  <w:num w:numId="15" w16cid:durableId="1725979135">
    <w:abstractNumId w:val="12"/>
  </w:num>
  <w:num w:numId="16" w16cid:durableId="1448622077">
    <w:abstractNumId w:val="1"/>
  </w:num>
  <w:num w:numId="17" w16cid:durableId="805928705">
    <w:abstractNumId w:val="5"/>
  </w:num>
  <w:num w:numId="18" w16cid:durableId="1931160549">
    <w:abstractNumId w:val="9"/>
  </w:num>
  <w:num w:numId="19" w16cid:durableId="1024749099">
    <w:abstractNumId w:val="6"/>
  </w:num>
  <w:num w:numId="20" w16cid:durableId="175408494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1A23"/>
    <w:rsid w:val="001120C3"/>
    <w:rsid w:val="001120ED"/>
    <w:rsid w:val="001121D5"/>
    <w:rsid w:val="001128E5"/>
    <w:rsid w:val="00112A9C"/>
    <w:rsid w:val="00112BA1"/>
    <w:rsid w:val="00112C1B"/>
    <w:rsid w:val="00112E06"/>
    <w:rsid w:val="00113284"/>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841"/>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1F07"/>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B7B00"/>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C98"/>
    <w:rsid w:val="001F5FCA"/>
    <w:rsid w:val="001F662C"/>
    <w:rsid w:val="001F7074"/>
    <w:rsid w:val="001F7248"/>
    <w:rsid w:val="001F7359"/>
    <w:rsid w:val="001F76DD"/>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3A9"/>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0F0E"/>
    <w:rsid w:val="0025103D"/>
    <w:rsid w:val="002513BE"/>
    <w:rsid w:val="002518CD"/>
    <w:rsid w:val="00251A35"/>
    <w:rsid w:val="00251F41"/>
    <w:rsid w:val="00251F80"/>
    <w:rsid w:val="00252E91"/>
    <w:rsid w:val="002533EC"/>
    <w:rsid w:val="00253411"/>
    <w:rsid w:val="002539D4"/>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0813"/>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52C"/>
    <w:rsid w:val="0029163B"/>
    <w:rsid w:val="0029177C"/>
    <w:rsid w:val="00291D14"/>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00B"/>
    <w:rsid w:val="002B24C5"/>
    <w:rsid w:val="002B24D6"/>
    <w:rsid w:val="002B2DC2"/>
    <w:rsid w:val="002B3310"/>
    <w:rsid w:val="002B3D50"/>
    <w:rsid w:val="002B3E92"/>
    <w:rsid w:val="002B3F04"/>
    <w:rsid w:val="002B42EA"/>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67E3B"/>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6DB"/>
    <w:rsid w:val="00383894"/>
    <w:rsid w:val="00383F98"/>
    <w:rsid w:val="00384CC2"/>
    <w:rsid w:val="00385BF0"/>
    <w:rsid w:val="00385F46"/>
    <w:rsid w:val="0038607E"/>
    <w:rsid w:val="00386165"/>
    <w:rsid w:val="00386437"/>
    <w:rsid w:val="003867DA"/>
    <w:rsid w:val="003868BC"/>
    <w:rsid w:val="00386A72"/>
    <w:rsid w:val="003902CC"/>
    <w:rsid w:val="00390E75"/>
    <w:rsid w:val="003914DA"/>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1E"/>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90E"/>
    <w:rsid w:val="00415CBD"/>
    <w:rsid w:val="004165D2"/>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B22"/>
    <w:rsid w:val="00511E00"/>
    <w:rsid w:val="005121FE"/>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6BD"/>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6D13"/>
    <w:rsid w:val="0058798C"/>
    <w:rsid w:val="00587DF1"/>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6C65"/>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7EF"/>
    <w:rsid w:val="006C78CA"/>
    <w:rsid w:val="006C78E0"/>
    <w:rsid w:val="006D0322"/>
    <w:rsid w:val="006D0768"/>
    <w:rsid w:val="006D1386"/>
    <w:rsid w:val="006D13BF"/>
    <w:rsid w:val="006D17F3"/>
    <w:rsid w:val="006D1EA0"/>
    <w:rsid w:val="006D200A"/>
    <w:rsid w:val="006D2509"/>
    <w:rsid w:val="006D3625"/>
    <w:rsid w:val="006D380B"/>
    <w:rsid w:val="006D3960"/>
    <w:rsid w:val="006D3A2D"/>
    <w:rsid w:val="006D409E"/>
    <w:rsid w:val="006D42B2"/>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961"/>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986"/>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2F6"/>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B61"/>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52E"/>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29D"/>
    <w:rsid w:val="009834CF"/>
    <w:rsid w:val="009837D7"/>
    <w:rsid w:val="00983A7B"/>
    <w:rsid w:val="009848AC"/>
    <w:rsid w:val="00984DAD"/>
    <w:rsid w:val="00985253"/>
    <w:rsid w:val="00985303"/>
    <w:rsid w:val="009853B3"/>
    <w:rsid w:val="00985AB3"/>
    <w:rsid w:val="00985D9C"/>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D9E"/>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2AB"/>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4A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9B3"/>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07D"/>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634"/>
    <w:rsid w:val="00B618F4"/>
    <w:rsid w:val="00B62257"/>
    <w:rsid w:val="00B623E6"/>
    <w:rsid w:val="00B630CD"/>
    <w:rsid w:val="00B63771"/>
    <w:rsid w:val="00B63907"/>
    <w:rsid w:val="00B6555B"/>
    <w:rsid w:val="00B65568"/>
    <w:rsid w:val="00B65584"/>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6E17"/>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49D"/>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665"/>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232"/>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521"/>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BF4"/>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5ED3"/>
    <w:rsid w:val="00D76C9C"/>
    <w:rsid w:val="00D76DEF"/>
    <w:rsid w:val="00D7724E"/>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32"/>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196"/>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73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C7EA8"/>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6A3"/>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406"/>
    <w:rsid w:val="00FF3864"/>
    <w:rsid w:val="00FF3EEB"/>
    <w:rsid w:val="00FF420E"/>
    <w:rsid w:val="00FF422C"/>
    <w:rsid w:val="00FF45A5"/>
    <w:rsid w:val="00FF5247"/>
    <w:rsid w:val="00FF55D3"/>
    <w:rsid w:val="00FF5C23"/>
    <w:rsid w:val="00FF5C91"/>
    <w:rsid w:val="00FF668E"/>
    <w:rsid w:val="00FF6709"/>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341903207">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680938510">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881745925">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openxmlformats.org/package/2006/metadata/core-properties"/>
    <ds:schemaRef ds:uri="9b239327-9e80-40e4-b1b7-4394fed77a33"/>
    <ds:schemaRef ds:uri="http://schemas.microsoft.com/sharepoint/v3"/>
    <ds:schemaRef ds:uri="http://purl.org/dc/dcmitype/"/>
    <ds:schemaRef ds:uri="http://purl.org/dc/terms/"/>
    <ds:schemaRef ds:uri="http://schemas.microsoft.com/office/2006/documentManagement/types"/>
    <ds:schemaRef ds:uri="2f282d3b-eb4a-4b09-b61f-b9593442e286"/>
    <ds:schemaRef ds:uri="http://schemas.microsoft.com/office/infopath/2007/PartnerControls"/>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706</TotalTime>
  <Pages>5</Pages>
  <Words>1253</Words>
  <Characters>7053</Characters>
  <Application>Microsoft Office Word</Application>
  <DocSecurity>0</DocSecurity>
  <Lines>135</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8239</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332</cp:revision>
  <cp:lastPrinted>2008-01-31T23:09:00Z</cp:lastPrinted>
  <dcterms:created xsi:type="dcterms:W3CDTF">2024-08-02T16:05:00Z</dcterms:created>
  <dcterms:modified xsi:type="dcterms:W3CDTF">2025-05-08T22:16:00Z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